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E8F5B" w14:textId="77777777" w:rsidR="004204D9" w:rsidRPr="004204D9" w:rsidRDefault="004204D9" w:rsidP="00B57C19">
      <w:pPr>
        <w:jc w:val="center"/>
        <w:rPr>
          <w:rFonts w:ascii="Arial" w:hAnsi="Arial" w:cs="Arial"/>
          <w:b/>
          <w:sz w:val="28"/>
          <w:szCs w:val="24"/>
        </w:rPr>
      </w:pPr>
      <w:bookmarkStart w:id="0" w:name="_GoBack"/>
      <w:bookmarkEnd w:id="0"/>
      <w:r w:rsidRPr="004204D9">
        <w:rPr>
          <w:rFonts w:ascii="Arial" w:hAnsi="Arial" w:cs="Arial"/>
          <w:b/>
          <w:sz w:val="28"/>
          <w:szCs w:val="24"/>
        </w:rPr>
        <w:t>GUIDELINE</w:t>
      </w:r>
    </w:p>
    <w:p w14:paraId="03648673" w14:textId="5275AC84" w:rsidR="004204D9" w:rsidRPr="004204D9" w:rsidRDefault="004204D9" w:rsidP="00294775">
      <w:pPr>
        <w:jc w:val="center"/>
        <w:rPr>
          <w:rFonts w:ascii="Arial" w:hAnsi="Arial" w:cs="Arial"/>
          <w:b/>
          <w:sz w:val="28"/>
          <w:szCs w:val="24"/>
        </w:rPr>
      </w:pPr>
      <w:r w:rsidRPr="004204D9">
        <w:rPr>
          <w:rFonts w:ascii="Arial" w:hAnsi="Arial" w:cs="Arial"/>
          <w:b/>
          <w:sz w:val="28"/>
          <w:szCs w:val="24"/>
        </w:rPr>
        <w:t>SPECIAL PROPERTY PROGRAM</w:t>
      </w:r>
    </w:p>
    <w:p w14:paraId="42868919" w14:textId="77777777" w:rsidR="00F54293" w:rsidRDefault="00F54293">
      <w:pPr>
        <w:rPr>
          <w:rFonts w:ascii="Arial" w:hAnsi="Arial" w:cs="Arial"/>
          <w:sz w:val="24"/>
          <w:szCs w:val="24"/>
        </w:rPr>
      </w:pPr>
      <w:r>
        <w:rPr>
          <w:rFonts w:ascii="Arial" w:hAnsi="Arial" w:cs="Arial"/>
          <w:sz w:val="24"/>
          <w:szCs w:val="24"/>
        </w:rPr>
        <w:t xml:space="preserve">The Assessment Review Board </w:t>
      </w:r>
      <w:r w:rsidR="00677568">
        <w:rPr>
          <w:rFonts w:ascii="Arial" w:hAnsi="Arial" w:cs="Arial"/>
          <w:sz w:val="24"/>
          <w:szCs w:val="24"/>
        </w:rPr>
        <w:t>may</w:t>
      </w:r>
      <w:r>
        <w:rPr>
          <w:rFonts w:ascii="Arial" w:hAnsi="Arial" w:cs="Arial"/>
          <w:sz w:val="24"/>
          <w:szCs w:val="24"/>
        </w:rPr>
        <w:t xml:space="preserve"> grant a partial exemption from Rule 37 for appeals of </w:t>
      </w:r>
      <w:r w:rsidR="0036137B">
        <w:rPr>
          <w:rFonts w:ascii="Arial" w:hAnsi="Arial" w:cs="Arial"/>
          <w:sz w:val="24"/>
          <w:szCs w:val="24"/>
        </w:rPr>
        <w:t xml:space="preserve">properties with </w:t>
      </w:r>
      <w:r>
        <w:rPr>
          <w:rFonts w:ascii="Arial" w:hAnsi="Arial" w:cs="Arial"/>
          <w:sz w:val="24"/>
          <w:szCs w:val="24"/>
        </w:rPr>
        <w:t>especially complex issues.  Those appeals will be part of the special property program</w:t>
      </w:r>
      <w:r w:rsidR="0036137B">
        <w:rPr>
          <w:rFonts w:ascii="Arial" w:hAnsi="Arial" w:cs="Arial"/>
          <w:sz w:val="24"/>
          <w:szCs w:val="24"/>
        </w:rPr>
        <w:t>.</w:t>
      </w:r>
    </w:p>
    <w:p w14:paraId="3E465B13" w14:textId="77777777" w:rsidR="00F54293" w:rsidRPr="004204D9" w:rsidRDefault="00F54293">
      <w:pPr>
        <w:rPr>
          <w:rFonts w:ascii="Arial" w:hAnsi="Arial" w:cs="Arial"/>
          <w:sz w:val="24"/>
          <w:szCs w:val="24"/>
          <w:u w:val="single"/>
        </w:rPr>
      </w:pPr>
      <w:r w:rsidRPr="004204D9">
        <w:rPr>
          <w:rFonts w:ascii="Arial" w:hAnsi="Arial" w:cs="Arial"/>
          <w:sz w:val="24"/>
          <w:szCs w:val="24"/>
          <w:u w:val="single"/>
        </w:rPr>
        <w:t>Exception</w:t>
      </w:r>
    </w:p>
    <w:p w14:paraId="2C20BD52" w14:textId="77777777" w:rsidR="00F54293" w:rsidRDefault="0036137B">
      <w:pPr>
        <w:rPr>
          <w:rFonts w:ascii="Arial" w:hAnsi="Arial" w:cs="Arial"/>
          <w:sz w:val="24"/>
          <w:szCs w:val="24"/>
        </w:rPr>
      </w:pPr>
      <w:r>
        <w:rPr>
          <w:rFonts w:ascii="Arial" w:hAnsi="Arial" w:cs="Arial"/>
          <w:sz w:val="24"/>
          <w:szCs w:val="24"/>
        </w:rPr>
        <w:t xml:space="preserve">The program is intended to provide partial relief from </w:t>
      </w:r>
      <w:r w:rsidR="00F54293">
        <w:rPr>
          <w:rFonts w:ascii="Arial" w:hAnsi="Arial" w:cs="Arial"/>
          <w:sz w:val="24"/>
          <w:szCs w:val="24"/>
        </w:rPr>
        <w:t>Rule 37</w:t>
      </w:r>
      <w:r>
        <w:rPr>
          <w:rFonts w:ascii="Arial" w:hAnsi="Arial" w:cs="Arial"/>
          <w:sz w:val="24"/>
          <w:szCs w:val="24"/>
        </w:rPr>
        <w:t>, which</w:t>
      </w:r>
      <w:r w:rsidR="00F54293">
        <w:rPr>
          <w:rFonts w:ascii="Arial" w:hAnsi="Arial" w:cs="Arial"/>
          <w:sz w:val="24"/>
          <w:szCs w:val="24"/>
        </w:rPr>
        <w:t xml:space="preserve"> states:</w:t>
      </w:r>
    </w:p>
    <w:p w14:paraId="7F0BCF52" w14:textId="77777777" w:rsidR="00F54293" w:rsidRPr="00F54293" w:rsidRDefault="00F54293" w:rsidP="00F54293">
      <w:pPr>
        <w:spacing w:line="240" w:lineRule="auto"/>
        <w:ind w:left="1418" w:right="855" w:hanging="567"/>
        <w:jc w:val="both"/>
        <w:rPr>
          <w:rFonts w:ascii="Arial" w:hAnsi="Arial" w:cs="Arial"/>
          <w:sz w:val="24"/>
          <w:szCs w:val="24"/>
        </w:rPr>
      </w:pPr>
      <w:r>
        <w:rPr>
          <w:rFonts w:ascii="Arial" w:hAnsi="Arial" w:cs="Arial"/>
          <w:sz w:val="24"/>
          <w:szCs w:val="24"/>
        </w:rPr>
        <w:t>37.</w:t>
      </w:r>
      <w:r>
        <w:rPr>
          <w:rFonts w:ascii="Arial" w:hAnsi="Arial" w:cs="Arial"/>
          <w:sz w:val="24"/>
          <w:szCs w:val="24"/>
        </w:rPr>
        <w:tab/>
      </w:r>
      <w:r w:rsidRPr="00F54293">
        <w:rPr>
          <w:rFonts w:ascii="Arial" w:hAnsi="Arial" w:cs="Arial"/>
          <w:sz w:val="24"/>
          <w:szCs w:val="24"/>
        </w:rPr>
        <w:t xml:space="preserve">On or before the filing deadline set out in the schedule of events for a proceeding, each party must file all materials that they intend to rely on at a hearing event, including: </w:t>
      </w:r>
    </w:p>
    <w:p w14:paraId="031D8982" w14:textId="77777777" w:rsidR="00F54293" w:rsidRPr="00F54293" w:rsidRDefault="00F54293" w:rsidP="004204D9">
      <w:pPr>
        <w:spacing w:line="240" w:lineRule="auto"/>
        <w:ind w:left="1701" w:right="856"/>
        <w:contextualSpacing/>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F54293">
        <w:rPr>
          <w:rFonts w:ascii="Arial" w:hAnsi="Arial" w:cs="Arial"/>
          <w:sz w:val="24"/>
          <w:szCs w:val="24"/>
        </w:rPr>
        <w:t xml:space="preserve">all evidence, including expert reports; </w:t>
      </w:r>
    </w:p>
    <w:p w14:paraId="1F30F880" w14:textId="77777777" w:rsidR="00F54293" w:rsidRPr="00F54293" w:rsidRDefault="00F54293" w:rsidP="004204D9">
      <w:pPr>
        <w:spacing w:line="240" w:lineRule="auto"/>
        <w:ind w:left="1701" w:right="856"/>
        <w:contextualSpacing/>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F54293">
        <w:rPr>
          <w:rFonts w:ascii="Arial" w:hAnsi="Arial" w:cs="Arial"/>
          <w:sz w:val="24"/>
          <w:szCs w:val="24"/>
        </w:rPr>
        <w:t xml:space="preserve">statements of issues and responses; and </w:t>
      </w:r>
    </w:p>
    <w:p w14:paraId="34BA09CA" w14:textId="77777777" w:rsidR="00F54293" w:rsidRPr="00F54293" w:rsidRDefault="00F54293" w:rsidP="004204D9">
      <w:pPr>
        <w:spacing w:line="240" w:lineRule="auto"/>
        <w:ind w:left="1701" w:right="856"/>
        <w:contextualSpacing/>
        <w:jc w:val="both"/>
        <w:rPr>
          <w:rFonts w:ascii="Arial" w:hAnsi="Arial" w:cs="Arial"/>
          <w:sz w:val="24"/>
          <w:szCs w:val="24"/>
        </w:rPr>
      </w:pPr>
      <w:r>
        <w:rPr>
          <w:rFonts w:ascii="Arial" w:hAnsi="Arial" w:cs="Arial"/>
          <w:sz w:val="24"/>
          <w:szCs w:val="24"/>
        </w:rPr>
        <w:t>(c)</w:t>
      </w:r>
      <w:r>
        <w:rPr>
          <w:rFonts w:ascii="Arial" w:hAnsi="Arial" w:cs="Arial"/>
          <w:sz w:val="24"/>
          <w:szCs w:val="24"/>
        </w:rPr>
        <w:tab/>
      </w:r>
      <w:r w:rsidRPr="00F54293">
        <w:rPr>
          <w:rFonts w:ascii="Arial" w:hAnsi="Arial" w:cs="Arial"/>
          <w:sz w:val="24"/>
          <w:szCs w:val="24"/>
        </w:rPr>
        <w:t xml:space="preserve">witness statements. </w:t>
      </w:r>
    </w:p>
    <w:p w14:paraId="60165935" w14:textId="77777777" w:rsidR="004204D9" w:rsidRDefault="004204D9">
      <w:pPr>
        <w:rPr>
          <w:rFonts w:ascii="Arial" w:hAnsi="Arial" w:cs="Arial"/>
          <w:sz w:val="24"/>
          <w:szCs w:val="24"/>
        </w:rPr>
      </w:pPr>
    </w:p>
    <w:p w14:paraId="54692364" w14:textId="77777777" w:rsidR="00F54293" w:rsidRDefault="00F54293">
      <w:pPr>
        <w:rPr>
          <w:rFonts w:ascii="Arial" w:hAnsi="Arial" w:cs="Arial"/>
          <w:sz w:val="24"/>
          <w:szCs w:val="24"/>
        </w:rPr>
      </w:pPr>
      <w:r>
        <w:rPr>
          <w:rFonts w:ascii="Arial" w:hAnsi="Arial" w:cs="Arial"/>
          <w:sz w:val="24"/>
          <w:szCs w:val="24"/>
        </w:rPr>
        <w:t>In complex matters there are concerns with filing a full expert report before the settlement conference.  The special property program will not require parties to file expert reports at the filing deadline.  All other aspects of Rule</w:t>
      </w:r>
      <w:r w:rsidR="0036137B">
        <w:rPr>
          <w:rFonts w:ascii="Arial" w:hAnsi="Arial" w:cs="Arial"/>
          <w:sz w:val="24"/>
          <w:szCs w:val="24"/>
        </w:rPr>
        <w:t xml:space="preserve"> 37 must still be complied with for all appeals, including those in the special property program.</w:t>
      </w:r>
    </w:p>
    <w:p w14:paraId="607F84B3" w14:textId="77777777" w:rsidR="00F54293" w:rsidRDefault="00F54293" w:rsidP="004204D9">
      <w:pPr>
        <w:contextualSpacing/>
        <w:rPr>
          <w:rFonts w:ascii="Arial" w:hAnsi="Arial" w:cs="Arial"/>
          <w:sz w:val="24"/>
          <w:szCs w:val="24"/>
        </w:rPr>
      </w:pPr>
      <w:r>
        <w:rPr>
          <w:rFonts w:ascii="Arial" w:hAnsi="Arial" w:cs="Arial"/>
          <w:sz w:val="24"/>
          <w:szCs w:val="24"/>
        </w:rPr>
        <w:t>Instead of an expert report, parties will be required to file documents setting out:</w:t>
      </w:r>
    </w:p>
    <w:p w14:paraId="1712AAE9" w14:textId="77777777" w:rsidR="00F54293" w:rsidRDefault="00AB2E59" w:rsidP="004204D9">
      <w:pPr>
        <w:pStyle w:val="ListParagraph"/>
        <w:numPr>
          <w:ilvl w:val="0"/>
          <w:numId w:val="1"/>
        </w:numPr>
        <w:ind w:left="1134" w:hanging="425"/>
        <w:rPr>
          <w:rFonts w:ascii="Arial" w:hAnsi="Arial" w:cs="Arial"/>
          <w:sz w:val="24"/>
          <w:szCs w:val="24"/>
        </w:rPr>
      </w:pPr>
      <w:r>
        <w:rPr>
          <w:rFonts w:ascii="Arial" w:hAnsi="Arial" w:cs="Arial"/>
          <w:sz w:val="24"/>
          <w:szCs w:val="24"/>
        </w:rPr>
        <w:t xml:space="preserve">that </w:t>
      </w:r>
      <w:r w:rsidR="008F4C3A">
        <w:rPr>
          <w:rFonts w:ascii="Arial" w:hAnsi="Arial" w:cs="Arial"/>
          <w:sz w:val="24"/>
          <w:szCs w:val="24"/>
        </w:rPr>
        <w:t>party’s</w:t>
      </w:r>
      <w:r>
        <w:rPr>
          <w:rFonts w:ascii="Arial" w:hAnsi="Arial" w:cs="Arial"/>
          <w:sz w:val="24"/>
          <w:szCs w:val="24"/>
        </w:rPr>
        <w:t xml:space="preserve"> opinion of the highest and best use of the property;</w:t>
      </w:r>
    </w:p>
    <w:p w14:paraId="423364FE" w14:textId="77777777" w:rsidR="00AB2E59" w:rsidRDefault="00AB2E59" w:rsidP="004204D9">
      <w:pPr>
        <w:pStyle w:val="ListParagraph"/>
        <w:numPr>
          <w:ilvl w:val="0"/>
          <w:numId w:val="1"/>
        </w:numPr>
        <w:ind w:left="1134" w:hanging="425"/>
        <w:rPr>
          <w:rFonts w:ascii="Arial" w:hAnsi="Arial" w:cs="Arial"/>
          <w:sz w:val="24"/>
          <w:szCs w:val="24"/>
        </w:rPr>
      </w:pPr>
      <w:r>
        <w:rPr>
          <w:rFonts w:ascii="Arial" w:hAnsi="Arial" w:cs="Arial"/>
          <w:sz w:val="24"/>
          <w:szCs w:val="24"/>
        </w:rPr>
        <w:t>the valuation method chosen for the property, and an explanation of why;</w:t>
      </w:r>
    </w:p>
    <w:p w14:paraId="48B62E87" w14:textId="77777777" w:rsidR="00AB2E59" w:rsidRDefault="008F4C3A" w:rsidP="004204D9">
      <w:pPr>
        <w:pStyle w:val="ListParagraph"/>
        <w:numPr>
          <w:ilvl w:val="0"/>
          <w:numId w:val="1"/>
        </w:numPr>
        <w:ind w:left="1134" w:hanging="425"/>
        <w:rPr>
          <w:rFonts w:ascii="Arial" w:hAnsi="Arial" w:cs="Arial"/>
          <w:sz w:val="24"/>
          <w:szCs w:val="24"/>
        </w:rPr>
      </w:pPr>
      <w:r>
        <w:rPr>
          <w:rFonts w:ascii="Arial" w:hAnsi="Arial" w:cs="Arial"/>
          <w:sz w:val="24"/>
          <w:szCs w:val="24"/>
        </w:rPr>
        <w:t xml:space="preserve">the party’s </w:t>
      </w:r>
      <w:r w:rsidR="00AB2E59">
        <w:rPr>
          <w:rFonts w:ascii="Arial" w:hAnsi="Arial" w:cs="Arial"/>
          <w:sz w:val="24"/>
          <w:szCs w:val="24"/>
        </w:rPr>
        <w:t>opinion of the value of the property, and an explanation of why;</w:t>
      </w:r>
    </w:p>
    <w:p w14:paraId="1023CB1C" w14:textId="77777777" w:rsidR="00AB2E59" w:rsidRDefault="008F4C3A" w:rsidP="004204D9">
      <w:pPr>
        <w:pStyle w:val="ListParagraph"/>
        <w:numPr>
          <w:ilvl w:val="0"/>
          <w:numId w:val="1"/>
        </w:numPr>
        <w:ind w:left="1134" w:hanging="425"/>
        <w:rPr>
          <w:rFonts w:ascii="Arial" w:hAnsi="Arial" w:cs="Arial"/>
          <w:sz w:val="24"/>
          <w:szCs w:val="24"/>
        </w:rPr>
      </w:pPr>
      <w:r>
        <w:rPr>
          <w:rFonts w:ascii="Arial" w:hAnsi="Arial" w:cs="Arial"/>
          <w:sz w:val="24"/>
          <w:szCs w:val="24"/>
        </w:rPr>
        <w:t>the party’s opinion on an equitable assessment, and an explanation of why;</w:t>
      </w:r>
    </w:p>
    <w:p w14:paraId="4833B163" w14:textId="77777777" w:rsidR="00677568" w:rsidRDefault="00677568" w:rsidP="004204D9">
      <w:pPr>
        <w:pStyle w:val="ListParagraph"/>
        <w:numPr>
          <w:ilvl w:val="0"/>
          <w:numId w:val="1"/>
        </w:numPr>
        <w:ind w:left="1134" w:hanging="425"/>
        <w:rPr>
          <w:rFonts w:ascii="Arial" w:hAnsi="Arial" w:cs="Arial"/>
          <w:sz w:val="24"/>
          <w:szCs w:val="24"/>
        </w:rPr>
      </w:pPr>
      <w:r>
        <w:rPr>
          <w:rFonts w:ascii="Arial" w:hAnsi="Arial" w:cs="Arial"/>
          <w:sz w:val="24"/>
          <w:szCs w:val="24"/>
        </w:rPr>
        <w:t>the party’s opinion on the positions of the other parties;</w:t>
      </w:r>
    </w:p>
    <w:p w14:paraId="0228EFFF" w14:textId="77777777" w:rsidR="008F4C3A" w:rsidRDefault="008F4C3A" w:rsidP="004204D9">
      <w:pPr>
        <w:pStyle w:val="ListParagraph"/>
        <w:numPr>
          <w:ilvl w:val="0"/>
          <w:numId w:val="1"/>
        </w:numPr>
        <w:ind w:left="1134" w:hanging="425"/>
        <w:rPr>
          <w:rFonts w:ascii="Arial" w:hAnsi="Arial" w:cs="Arial"/>
          <w:sz w:val="24"/>
          <w:szCs w:val="24"/>
        </w:rPr>
      </w:pPr>
      <w:r>
        <w:rPr>
          <w:rFonts w:ascii="Arial" w:hAnsi="Arial" w:cs="Arial"/>
          <w:sz w:val="24"/>
          <w:szCs w:val="24"/>
        </w:rPr>
        <w:t>a list of the documents that support the party’s opinion; and</w:t>
      </w:r>
    </w:p>
    <w:p w14:paraId="778BB29F" w14:textId="77777777" w:rsidR="008F4C3A" w:rsidRDefault="008F4C3A" w:rsidP="004204D9">
      <w:pPr>
        <w:pStyle w:val="ListParagraph"/>
        <w:numPr>
          <w:ilvl w:val="0"/>
          <w:numId w:val="1"/>
        </w:numPr>
        <w:ind w:left="1134" w:hanging="425"/>
        <w:rPr>
          <w:rFonts w:ascii="Arial" w:hAnsi="Arial" w:cs="Arial"/>
          <w:sz w:val="24"/>
          <w:szCs w:val="24"/>
        </w:rPr>
      </w:pPr>
      <w:r>
        <w:rPr>
          <w:rFonts w:ascii="Arial" w:hAnsi="Arial" w:cs="Arial"/>
          <w:sz w:val="24"/>
          <w:szCs w:val="24"/>
        </w:rPr>
        <w:t>certification that the party is in a position to discuss the issues in detail, and in good faith, notwithstanding the lack of expert reports.</w:t>
      </w:r>
    </w:p>
    <w:p w14:paraId="384BA007" w14:textId="0768218B" w:rsidR="00125503" w:rsidRPr="00FA4019" w:rsidRDefault="001E0133" w:rsidP="008F4C3A">
      <w:pPr>
        <w:rPr>
          <w:rFonts w:ascii="Arial" w:hAnsi="Arial" w:cs="Arial"/>
          <w:sz w:val="24"/>
          <w:szCs w:val="24"/>
        </w:rPr>
      </w:pPr>
      <w:r>
        <w:rPr>
          <w:rFonts w:ascii="Arial" w:hAnsi="Arial" w:cs="Arial"/>
          <w:sz w:val="24"/>
          <w:szCs w:val="24"/>
        </w:rPr>
        <w:t xml:space="preserve">Only appeals that have been approved for the special property program will be </w:t>
      </w:r>
      <w:r w:rsidR="002A05BD">
        <w:rPr>
          <w:rFonts w:ascii="Arial" w:hAnsi="Arial" w:cs="Arial"/>
          <w:sz w:val="24"/>
          <w:szCs w:val="24"/>
        </w:rPr>
        <w:t xml:space="preserve">partially </w:t>
      </w:r>
      <w:r>
        <w:rPr>
          <w:rFonts w:ascii="Arial" w:hAnsi="Arial" w:cs="Arial"/>
          <w:sz w:val="24"/>
          <w:szCs w:val="24"/>
        </w:rPr>
        <w:t xml:space="preserve">exempt from Rule 37.  Appeals in the </w:t>
      </w:r>
      <w:r w:rsidR="0036137B">
        <w:rPr>
          <w:rFonts w:ascii="Arial" w:hAnsi="Arial" w:cs="Arial"/>
          <w:sz w:val="24"/>
          <w:szCs w:val="24"/>
        </w:rPr>
        <w:t xml:space="preserve">special property </w:t>
      </w:r>
      <w:r>
        <w:rPr>
          <w:rFonts w:ascii="Arial" w:hAnsi="Arial" w:cs="Arial"/>
          <w:sz w:val="24"/>
          <w:szCs w:val="24"/>
        </w:rPr>
        <w:t xml:space="preserve">program will be permitted to file expert reports after the settlement conference, if a </w:t>
      </w:r>
      <w:r w:rsidR="00C708CE">
        <w:rPr>
          <w:rFonts w:ascii="Arial" w:hAnsi="Arial" w:cs="Arial"/>
          <w:sz w:val="24"/>
          <w:szCs w:val="24"/>
        </w:rPr>
        <w:t>further appearance before the Board is</w:t>
      </w:r>
      <w:r>
        <w:rPr>
          <w:rFonts w:ascii="Arial" w:hAnsi="Arial" w:cs="Arial"/>
          <w:sz w:val="24"/>
          <w:szCs w:val="24"/>
        </w:rPr>
        <w:t xml:space="preserve"> required.</w:t>
      </w:r>
    </w:p>
    <w:p w14:paraId="484710F2" w14:textId="77777777" w:rsidR="001E0133" w:rsidRPr="004204D9" w:rsidRDefault="001E0133" w:rsidP="008F4C3A">
      <w:pPr>
        <w:rPr>
          <w:rFonts w:ascii="Arial" w:hAnsi="Arial" w:cs="Arial"/>
          <w:sz w:val="24"/>
          <w:szCs w:val="24"/>
          <w:u w:val="single"/>
        </w:rPr>
      </w:pPr>
      <w:r w:rsidRPr="004204D9">
        <w:rPr>
          <w:rFonts w:ascii="Arial" w:hAnsi="Arial" w:cs="Arial"/>
          <w:sz w:val="24"/>
          <w:szCs w:val="24"/>
          <w:u w:val="single"/>
        </w:rPr>
        <w:lastRenderedPageBreak/>
        <w:t>Eligibility</w:t>
      </w:r>
    </w:p>
    <w:p w14:paraId="6961FD09" w14:textId="77777777" w:rsidR="001E0133" w:rsidRDefault="001E0133" w:rsidP="008F4C3A">
      <w:pPr>
        <w:rPr>
          <w:rFonts w:ascii="Arial" w:hAnsi="Arial" w:cs="Arial"/>
          <w:sz w:val="24"/>
          <w:szCs w:val="24"/>
        </w:rPr>
      </w:pPr>
      <w:r>
        <w:rPr>
          <w:rFonts w:ascii="Arial" w:hAnsi="Arial" w:cs="Arial"/>
          <w:sz w:val="24"/>
          <w:szCs w:val="24"/>
        </w:rPr>
        <w:t xml:space="preserve">The special property program is only open to the most complex appeals that come before the Board.  Only </w:t>
      </w:r>
      <w:r w:rsidR="0036137B">
        <w:rPr>
          <w:rFonts w:ascii="Arial" w:hAnsi="Arial" w:cs="Arial"/>
          <w:sz w:val="24"/>
          <w:szCs w:val="24"/>
        </w:rPr>
        <w:t xml:space="preserve">appeals of </w:t>
      </w:r>
      <w:r>
        <w:rPr>
          <w:rFonts w:ascii="Arial" w:hAnsi="Arial" w:cs="Arial"/>
          <w:sz w:val="24"/>
          <w:szCs w:val="24"/>
        </w:rPr>
        <w:t xml:space="preserve">those properties </w:t>
      </w:r>
      <w:r w:rsidR="0036137B">
        <w:rPr>
          <w:rFonts w:ascii="Arial" w:hAnsi="Arial" w:cs="Arial"/>
          <w:sz w:val="24"/>
          <w:szCs w:val="24"/>
        </w:rPr>
        <w:t xml:space="preserve">will be permitted to </w:t>
      </w:r>
      <w:r>
        <w:rPr>
          <w:rFonts w:ascii="Arial" w:hAnsi="Arial" w:cs="Arial"/>
          <w:sz w:val="24"/>
          <w:szCs w:val="24"/>
        </w:rPr>
        <w:t xml:space="preserve">file a document short of an expert report </w:t>
      </w:r>
      <w:r w:rsidR="0036137B">
        <w:rPr>
          <w:rFonts w:ascii="Arial" w:hAnsi="Arial" w:cs="Arial"/>
          <w:sz w:val="24"/>
          <w:szCs w:val="24"/>
        </w:rPr>
        <w:t xml:space="preserve">at the filing deadline </w:t>
      </w:r>
      <w:r>
        <w:rPr>
          <w:rFonts w:ascii="Arial" w:hAnsi="Arial" w:cs="Arial"/>
          <w:sz w:val="24"/>
          <w:szCs w:val="24"/>
        </w:rPr>
        <w:t>and then have a further filing opportunity</w:t>
      </w:r>
      <w:r w:rsidR="0036137B">
        <w:rPr>
          <w:rFonts w:ascii="Arial" w:hAnsi="Arial" w:cs="Arial"/>
          <w:sz w:val="24"/>
          <w:szCs w:val="24"/>
        </w:rPr>
        <w:t xml:space="preserve"> after the settlement conference</w:t>
      </w:r>
      <w:r>
        <w:rPr>
          <w:rFonts w:ascii="Arial" w:hAnsi="Arial" w:cs="Arial"/>
          <w:sz w:val="24"/>
          <w:szCs w:val="24"/>
        </w:rPr>
        <w:t>.  In order to ensure that only the appropriate appeals enter the program, an application must be approved by the Board before the program will be engaged.</w:t>
      </w:r>
    </w:p>
    <w:p w14:paraId="6F353C66" w14:textId="77777777" w:rsidR="001E0133" w:rsidRDefault="001E0133" w:rsidP="008F4C3A">
      <w:pPr>
        <w:rPr>
          <w:rFonts w:ascii="Arial" w:hAnsi="Arial" w:cs="Arial"/>
          <w:sz w:val="24"/>
          <w:szCs w:val="24"/>
        </w:rPr>
      </w:pPr>
      <w:r>
        <w:rPr>
          <w:rFonts w:ascii="Arial" w:hAnsi="Arial" w:cs="Arial"/>
          <w:sz w:val="24"/>
          <w:szCs w:val="24"/>
        </w:rPr>
        <w:t xml:space="preserve">Applications can be made using this form.  The form must be filed on or before </w:t>
      </w:r>
      <w:r w:rsidR="00672759">
        <w:rPr>
          <w:rFonts w:ascii="Arial" w:hAnsi="Arial" w:cs="Arial"/>
          <w:sz w:val="24"/>
          <w:szCs w:val="24"/>
        </w:rPr>
        <w:t xml:space="preserve">Week 62 of the </w:t>
      </w:r>
      <w:r>
        <w:rPr>
          <w:rFonts w:ascii="Arial" w:hAnsi="Arial" w:cs="Arial"/>
          <w:sz w:val="24"/>
          <w:szCs w:val="24"/>
        </w:rPr>
        <w:t>schedule of events</w:t>
      </w:r>
      <w:r w:rsidR="0036137B">
        <w:rPr>
          <w:rFonts w:ascii="Arial" w:hAnsi="Arial" w:cs="Arial"/>
          <w:sz w:val="24"/>
          <w:szCs w:val="24"/>
        </w:rPr>
        <w:t xml:space="preserve"> applicable to the appeals</w:t>
      </w:r>
      <w:r>
        <w:rPr>
          <w:rFonts w:ascii="Arial" w:hAnsi="Arial" w:cs="Arial"/>
          <w:sz w:val="24"/>
          <w:szCs w:val="24"/>
        </w:rPr>
        <w:t xml:space="preserve">.  The application will then be put before a Member of the Board who will determine if the property </w:t>
      </w:r>
      <w:r w:rsidR="0036137B">
        <w:rPr>
          <w:rFonts w:ascii="Arial" w:hAnsi="Arial" w:cs="Arial"/>
          <w:sz w:val="24"/>
          <w:szCs w:val="24"/>
        </w:rPr>
        <w:t>is</w:t>
      </w:r>
      <w:r>
        <w:rPr>
          <w:rFonts w:ascii="Arial" w:hAnsi="Arial" w:cs="Arial"/>
          <w:sz w:val="24"/>
          <w:szCs w:val="24"/>
        </w:rPr>
        <w:t xml:space="preserve"> granted access to the special property program.</w:t>
      </w:r>
    </w:p>
    <w:p w14:paraId="685B181A" w14:textId="77777777" w:rsidR="001E0133" w:rsidRDefault="001E0133" w:rsidP="008F4C3A">
      <w:pPr>
        <w:rPr>
          <w:rFonts w:ascii="Arial" w:hAnsi="Arial" w:cs="Arial"/>
          <w:sz w:val="24"/>
          <w:szCs w:val="24"/>
        </w:rPr>
      </w:pPr>
      <w:r>
        <w:rPr>
          <w:rFonts w:ascii="Arial" w:hAnsi="Arial" w:cs="Arial"/>
          <w:sz w:val="24"/>
          <w:szCs w:val="24"/>
        </w:rPr>
        <w:t>In determining if a property</w:t>
      </w:r>
      <w:r w:rsidR="0036137B">
        <w:rPr>
          <w:rFonts w:ascii="Arial" w:hAnsi="Arial" w:cs="Arial"/>
          <w:sz w:val="24"/>
          <w:szCs w:val="24"/>
        </w:rPr>
        <w:t xml:space="preserve"> should be placed in </w:t>
      </w:r>
      <w:r>
        <w:rPr>
          <w:rFonts w:ascii="Arial" w:hAnsi="Arial" w:cs="Arial"/>
          <w:sz w:val="24"/>
          <w:szCs w:val="24"/>
        </w:rPr>
        <w:t>the special property program, the Board must consider:</w:t>
      </w:r>
    </w:p>
    <w:p w14:paraId="09B891D0" w14:textId="77777777" w:rsidR="001E0133" w:rsidRDefault="001E0133" w:rsidP="00737A4F">
      <w:pPr>
        <w:pStyle w:val="ListParagraph"/>
        <w:numPr>
          <w:ilvl w:val="0"/>
          <w:numId w:val="2"/>
        </w:numPr>
        <w:ind w:left="1134" w:hanging="425"/>
        <w:rPr>
          <w:rFonts w:ascii="Arial" w:hAnsi="Arial" w:cs="Arial"/>
          <w:sz w:val="24"/>
          <w:szCs w:val="24"/>
        </w:rPr>
      </w:pPr>
      <w:r>
        <w:rPr>
          <w:rFonts w:ascii="Arial" w:hAnsi="Arial" w:cs="Arial"/>
          <w:sz w:val="24"/>
          <w:szCs w:val="24"/>
        </w:rPr>
        <w:t>the consent of the parties to the property’s eligibility;</w:t>
      </w:r>
    </w:p>
    <w:p w14:paraId="08BE8F6A" w14:textId="77777777" w:rsidR="001E0133" w:rsidRDefault="001E0133" w:rsidP="00737A4F">
      <w:pPr>
        <w:pStyle w:val="ListParagraph"/>
        <w:numPr>
          <w:ilvl w:val="0"/>
          <w:numId w:val="2"/>
        </w:numPr>
        <w:ind w:left="1134" w:hanging="425"/>
        <w:rPr>
          <w:rFonts w:ascii="Arial" w:hAnsi="Arial" w:cs="Arial"/>
          <w:sz w:val="24"/>
          <w:szCs w:val="24"/>
        </w:rPr>
      </w:pPr>
      <w:r>
        <w:rPr>
          <w:rFonts w:ascii="Arial" w:hAnsi="Arial" w:cs="Arial"/>
          <w:sz w:val="24"/>
          <w:szCs w:val="24"/>
        </w:rPr>
        <w:t>the complexity of the issues in dispute;</w:t>
      </w:r>
      <w:r w:rsidR="00737A4F">
        <w:rPr>
          <w:rFonts w:ascii="Arial" w:hAnsi="Arial" w:cs="Arial"/>
          <w:sz w:val="24"/>
          <w:szCs w:val="24"/>
        </w:rPr>
        <w:t xml:space="preserve"> and</w:t>
      </w:r>
    </w:p>
    <w:p w14:paraId="1190877D" w14:textId="77777777" w:rsidR="001E0133" w:rsidRDefault="00737A4F" w:rsidP="00737A4F">
      <w:pPr>
        <w:pStyle w:val="ListParagraph"/>
        <w:numPr>
          <w:ilvl w:val="0"/>
          <w:numId w:val="2"/>
        </w:numPr>
        <w:ind w:left="1134" w:hanging="425"/>
        <w:rPr>
          <w:rFonts w:ascii="Arial" w:hAnsi="Arial" w:cs="Arial"/>
          <w:sz w:val="24"/>
          <w:szCs w:val="24"/>
        </w:rPr>
      </w:pPr>
      <w:r>
        <w:rPr>
          <w:rFonts w:ascii="Arial" w:hAnsi="Arial" w:cs="Arial"/>
          <w:sz w:val="24"/>
          <w:szCs w:val="24"/>
        </w:rPr>
        <w:t>the type of property, which must be a:</w:t>
      </w:r>
    </w:p>
    <w:p w14:paraId="70AA7FCD" w14:textId="77777777" w:rsidR="00737A4F" w:rsidRDefault="00737A4F" w:rsidP="00737A4F">
      <w:pPr>
        <w:pStyle w:val="ListParagraph"/>
        <w:numPr>
          <w:ilvl w:val="0"/>
          <w:numId w:val="3"/>
        </w:numPr>
        <w:ind w:left="1701" w:hanging="425"/>
        <w:rPr>
          <w:rFonts w:ascii="Arial" w:hAnsi="Arial" w:cs="Arial"/>
          <w:sz w:val="24"/>
          <w:szCs w:val="24"/>
        </w:rPr>
      </w:pPr>
      <w:r>
        <w:rPr>
          <w:rFonts w:ascii="Arial" w:hAnsi="Arial" w:cs="Arial"/>
          <w:sz w:val="24"/>
          <w:szCs w:val="24"/>
        </w:rPr>
        <w:t>special purpose business property,</w:t>
      </w:r>
    </w:p>
    <w:p w14:paraId="57F5E0EB" w14:textId="77777777" w:rsidR="00737A4F" w:rsidRDefault="00737A4F" w:rsidP="00737A4F">
      <w:pPr>
        <w:pStyle w:val="ListParagraph"/>
        <w:numPr>
          <w:ilvl w:val="0"/>
          <w:numId w:val="3"/>
        </w:numPr>
        <w:ind w:left="1701" w:hanging="425"/>
        <w:rPr>
          <w:rFonts w:ascii="Arial" w:hAnsi="Arial" w:cs="Arial"/>
          <w:sz w:val="24"/>
          <w:szCs w:val="24"/>
        </w:rPr>
      </w:pPr>
      <w:r>
        <w:rPr>
          <w:rFonts w:ascii="Arial" w:hAnsi="Arial" w:cs="Arial"/>
          <w:sz w:val="24"/>
          <w:szCs w:val="24"/>
        </w:rPr>
        <w:t>large office complex, in the AA or AAA Class, or similar property,</w:t>
      </w:r>
    </w:p>
    <w:p w14:paraId="0EC2848C" w14:textId="77777777" w:rsidR="00737A4F" w:rsidRDefault="00737A4F" w:rsidP="00737A4F">
      <w:pPr>
        <w:pStyle w:val="ListParagraph"/>
        <w:numPr>
          <w:ilvl w:val="0"/>
          <w:numId w:val="3"/>
        </w:numPr>
        <w:ind w:left="1701" w:hanging="425"/>
        <w:rPr>
          <w:rFonts w:ascii="Arial" w:hAnsi="Arial" w:cs="Arial"/>
          <w:sz w:val="24"/>
          <w:szCs w:val="24"/>
        </w:rPr>
      </w:pPr>
      <w:r>
        <w:rPr>
          <w:rFonts w:ascii="Arial" w:hAnsi="Arial" w:cs="Arial"/>
          <w:sz w:val="24"/>
          <w:szCs w:val="24"/>
        </w:rPr>
        <w:t>regional shopping centre,</w:t>
      </w:r>
    </w:p>
    <w:p w14:paraId="576394EC" w14:textId="77777777" w:rsidR="00737A4F" w:rsidRDefault="00737A4F" w:rsidP="00737A4F">
      <w:pPr>
        <w:pStyle w:val="ListParagraph"/>
        <w:numPr>
          <w:ilvl w:val="0"/>
          <w:numId w:val="3"/>
        </w:numPr>
        <w:ind w:left="1701" w:hanging="425"/>
        <w:rPr>
          <w:rFonts w:ascii="Arial" w:hAnsi="Arial" w:cs="Arial"/>
          <w:sz w:val="24"/>
          <w:szCs w:val="24"/>
        </w:rPr>
      </w:pPr>
      <w:r>
        <w:rPr>
          <w:rFonts w:ascii="Arial" w:hAnsi="Arial" w:cs="Arial"/>
          <w:sz w:val="24"/>
          <w:szCs w:val="24"/>
        </w:rPr>
        <w:t>hospitality property, such as a hotel, golf course, nursing home, or retirement home,</w:t>
      </w:r>
    </w:p>
    <w:p w14:paraId="22550611" w14:textId="77777777" w:rsidR="00737A4F" w:rsidRDefault="002A05BD" w:rsidP="00737A4F">
      <w:pPr>
        <w:pStyle w:val="ListParagraph"/>
        <w:numPr>
          <w:ilvl w:val="0"/>
          <w:numId w:val="3"/>
        </w:numPr>
        <w:ind w:left="1701" w:hanging="425"/>
        <w:rPr>
          <w:rFonts w:ascii="Arial" w:hAnsi="Arial" w:cs="Arial"/>
          <w:sz w:val="24"/>
          <w:szCs w:val="24"/>
        </w:rPr>
      </w:pPr>
      <w:r>
        <w:rPr>
          <w:rFonts w:ascii="Arial" w:hAnsi="Arial" w:cs="Arial"/>
          <w:sz w:val="24"/>
          <w:szCs w:val="24"/>
        </w:rPr>
        <w:t>complex property, such as an airport, data centre, oil and gas well, grain elevator</w:t>
      </w:r>
      <w:r w:rsidR="00737A4F">
        <w:rPr>
          <w:rFonts w:ascii="Arial" w:hAnsi="Arial" w:cs="Arial"/>
          <w:sz w:val="24"/>
          <w:szCs w:val="24"/>
        </w:rPr>
        <w:t>, casino, or sports and entertainment facility, or</w:t>
      </w:r>
    </w:p>
    <w:p w14:paraId="32D675F8" w14:textId="77777777" w:rsidR="00737A4F" w:rsidRDefault="00677568" w:rsidP="00737A4F">
      <w:pPr>
        <w:pStyle w:val="ListParagraph"/>
        <w:numPr>
          <w:ilvl w:val="0"/>
          <w:numId w:val="3"/>
        </w:numPr>
        <w:ind w:left="1701" w:hanging="425"/>
        <w:rPr>
          <w:rFonts w:ascii="Arial" w:hAnsi="Arial" w:cs="Arial"/>
          <w:sz w:val="24"/>
          <w:szCs w:val="24"/>
        </w:rPr>
      </w:pPr>
      <w:r>
        <w:rPr>
          <w:rFonts w:ascii="Arial" w:hAnsi="Arial" w:cs="Arial"/>
          <w:sz w:val="24"/>
          <w:szCs w:val="24"/>
        </w:rPr>
        <w:t>property with special valuation considerations</w:t>
      </w:r>
      <w:r w:rsidR="00737A4F">
        <w:rPr>
          <w:rFonts w:ascii="Arial" w:hAnsi="Arial" w:cs="Arial"/>
          <w:sz w:val="24"/>
          <w:szCs w:val="24"/>
        </w:rPr>
        <w:t>.</w:t>
      </w:r>
    </w:p>
    <w:p w14:paraId="687882FC" w14:textId="77777777" w:rsidR="00737A4F" w:rsidRPr="00737A4F" w:rsidRDefault="00737A4F" w:rsidP="00737A4F">
      <w:pPr>
        <w:rPr>
          <w:rFonts w:ascii="Arial" w:hAnsi="Arial" w:cs="Arial"/>
          <w:sz w:val="24"/>
          <w:szCs w:val="24"/>
        </w:rPr>
      </w:pPr>
      <w:r>
        <w:rPr>
          <w:rFonts w:ascii="Arial" w:hAnsi="Arial" w:cs="Arial"/>
          <w:sz w:val="24"/>
          <w:szCs w:val="24"/>
        </w:rPr>
        <w:t>In most cases the Board will respond to applications for the special property program within five business days.  Parties are expected to comply with the filing date set in the schedule of events, and Rule 48 will apply to all appeals, including those that have applied for the special property program.</w:t>
      </w:r>
    </w:p>
    <w:sectPr w:rsidR="00737A4F" w:rsidRPr="00737A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F4989" w14:textId="77777777" w:rsidR="00C56B3F" w:rsidRDefault="00C56B3F" w:rsidP="008F4C3A">
      <w:pPr>
        <w:spacing w:after="0" w:line="240" w:lineRule="auto"/>
      </w:pPr>
      <w:r>
        <w:separator/>
      </w:r>
    </w:p>
  </w:endnote>
  <w:endnote w:type="continuationSeparator" w:id="0">
    <w:p w14:paraId="52FB1A77" w14:textId="77777777" w:rsidR="00C56B3F" w:rsidRDefault="00C56B3F" w:rsidP="008F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713A3" w14:textId="77777777" w:rsidR="00294775" w:rsidRDefault="00294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940855"/>
      <w:docPartObj>
        <w:docPartGallery w:val="Page Numbers (Bottom of Page)"/>
        <w:docPartUnique/>
      </w:docPartObj>
    </w:sdtPr>
    <w:sdtEndPr>
      <w:rPr>
        <w:noProof/>
      </w:rPr>
    </w:sdtEndPr>
    <w:sdtContent>
      <w:p w14:paraId="6FDA6260" w14:textId="77777777" w:rsidR="008F4C3A" w:rsidRDefault="008F4C3A">
        <w:pPr>
          <w:pStyle w:val="Footer"/>
          <w:jc w:val="center"/>
        </w:pPr>
        <w:r>
          <w:fldChar w:fldCharType="begin"/>
        </w:r>
        <w:r>
          <w:instrText xml:space="preserve"> PAGE   \* MERGEFORMAT </w:instrText>
        </w:r>
        <w:r>
          <w:fldChar w:fldCharType="separate"/>
        </w:r>
        <w:r w:rsidR="00B10083">
          <w:rPr>
            <w:noProof/>
          </w:rPr>
          <w:t>1</w:t>
        </w:r>
        <w:r>
          <w:rPr>
            <w:noProof/>
          </w:rPr>
          <w:fldChar w:fldCharType="end"/>
        </w:r>
      </w:p>
    </w:sdtContent>
  </w:sdt>
  <w:p w14:paraId="27FCE4F4" w14:textId="534225DD" w:rsidR="007F264B" w:rsidRDefault="00294775" w:rsidP="007F264B">
    <w:pPr>
      <w:pStyle w:val="Footer"/>
      <w:jc w:val="right"/>
    </w:pPr>
    <w:r>
      <w:t>July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A882D" w14:textId="77777777" w:rsidR="00294775" w:rsidRDefault="00294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39E5E" w14:textId="77777777" w:rsidR="00C56B3F" w:rsidRDefault="00C56B3F" w:rsidP="008F4C3A">
      <w:pPr>
        <w:spacing w:after="0" w:line="240" w:lineRule="auto"/>
      </w:pPr>
      <w:r>
        <w:separator/>
      </w:r>
    </w:p>
  </w:footnote>
  <w:footnote w:type="continuationSeparator" w:id="0">
    <w:p w14:paraId="3941FF2C" w14:textId="77777777" w:rsidR="00C56B3F" w:rsidRDefault="00C56B3F" w:rsidP="008F4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8E58F" w14:textId="77777777" w:rsidR="00294775" w:rsidRDefault="00294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3867" w14:textId="750503CF" w:rsidR="00B57C19" w:rsidRDefault="00B57C19" w:rsidP="00B57C19">
    <w:pPr>
      <w:tabs>
        <w:tab w:val="right" w:pos="180"/>
      </w:tabs>
      <w:autoSpaceDE w:val="0"/>
      <w:autoSpaceDN w:val="0"/>
      <w:adjustRightInd w:val="0"/>
      <w:spacing w:after="0" w:line="240" w:lineRule="auto"/>
      <w:rPr>
        <w:rFonts w:ascii="Arial" w:hAnsi="Arial" w:cs="Arial"/>
        <w:bCs/>
        <w:spacing w:val="-16"/>
        <w:sz w:val="23"/>
        <w:szCs w:val="23"/>
      </w:rPr>
    </w:pPr>
    <w:r>
      <w:rPr>
        <w:noProof/>
        <w:lang w:val="fr-CA" w:eastAsia="fr-CA"/>
      </w:rPr>
      <w:drawing>
        <wp:anchor distT="0" distB="0" distL="114300" distR="114300" simplePos="0" relativeHeight="251659264" behindDoc="0" locked="0" layoutInCell="1" allowOverlap="1" wp14:anchorId="03275AF7" wp14:editId="17D97007">
          <wp:simplePos x="0" y="0"/>
          <wp:positionH relativeFrom="column">
            <wp:posOffset>-723900</wp:posOffset>
          </wp:positionH>
          <wp:positionV relativeFrom="paragraph">
            <wp:posOffset>-35560</wp:posOffset>
          </wp:positionV>
          <wp:extent cx="640080" cy="8001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Cs/>
        <w:spacing w:val="-16"/>
        <w:sz w:val="23"/>
        <w:szCs w:val="23"/>
      </w:rPr>
      <w:t xml:space="preserve">Tribunals Ontario – </w:t>
    </w:r>
    <w:r w:rsidR="00DE42ED">
      <w:rPr>
        <w:rFonts w:ascii="Arial" w:hAnsi="Arial" w:cs="Arial"/>
        <w:bCs/>
        <w:spacing w:val="-16"/>
        <w:sz w:val="23"/>
        <w:szCs w:val="23"/>
      </w:rPr>
      <w:t>Assessment Review Board</w:t>
    </w:r>
  </w:p>
  <w:p w14:paraId="5C701821" w14:textId="66ADBAF5" w:rsidR="00294775" w:rsidRPr="00294775" w:rsidRDefault="00294775" w:rsidP="00B57C19">
    <w:pPr>
      <w:tabs>
        <w:tab w:val="right" w:pos="180"/>
      </w:tabs>
      <w:autoSpaceDE w:val="0"/>
      <w:autoSpaceDN w:val="0"/>
      <w:adjustRightInd w:val="0"/>
      <w:spacing w:after="0" w:line="240" w:lineRule="auto"/>
      <w:rPr>
        <w:rFonts w:ascii="Arial" w:hAnsi="Arial" w:cs="Arial"/>
        <w:b/>
        <w:bCs/>
        <w:spacing w:val="-16"/>
        <w:sz w:val="28"/>
        <w:szCs w:val="23"/>
      </w:rPr>
    </w:pPr>
    <w:r w:rsidRPr="00294775">
      <w:rPr>
        <w:rFonts w:ascii="Arial" w:hAnsi="Arial" w:cs="Arial"/>
        <w:b/>
        <w:bCs/>
        <w:spacing w:val="-16"/>
        <w:sz w:val="28"/>
        <w:szCs w:val="23"/>
      </w:rPr>
      <w:t>Special Property Program Guideline</w:t>
    </w:r>
  </w:p>
  <w:p w14:paraId="3ACB8E27" w14:textId="77777777" w:rsidR="00B57C19" w:rsidRDefault="00B57C19" w:rsidP="00B57C19">
    <w:pPr>
      <w:tabs>
        <w:tab w:val="right" w:pos="360"/>
      </w:tabs>
      <w:autoSpaceDE w:val="0"/>
      <w:autoSpaceDN w:val="0"/>
      <w:adjustRightInd w:val="0"/>
      <w:spacing w:after="0" w:line="240" w:lineRule="auto"/>
      <w:rPr>
        <w:rFonts w:ascii="Arial" w:hAnsi="Arial" w:cs="Arial"/>
        <w:sz w:val="8"/>
        <w:szCs w:val="8"/>
      </w:rPr>
    </w:pPr>
  </w:p>
  <w:p w14:paraId="2E1933A1" w14:textId="77777777" w:rsidR="00B57C19" w:rsidRDefault="00B57C19" w:rsidP="00B57C19">
    <w:pPr>
      <w:pBdr>
        <w:bottom w:val="single" w:sz="4" w:space="2" w:color="auto"/>
      </w:pBdr>
      <w:tabs>
        <w:tab w:val="right" w:pos="90"/>
        <w:tab w:val="right" w:pos="360"/>
      </w:tabs>
      <w:spacing w:after="0" w:line="240" w:lineRule="auto"/>
      <w:ind w:left="90"/>
      <w:rPr>
        <w:rFonts w:ascii="Arial" w:hAnsi="Arial" w:cs="Times New Roman"/>
        <w:w w:val="98"/>
        <w:sz w:val="18"/>
        <w:szCs w:val="18"/>
        <w:lang w:val="en-US"/>
      </w:rPr>
    </w:pPr>
    <w:r>
      <w:rPr>
        <w:rFonts w:ascii="Arial" w:hAnsi="Arial"/>
        <w:w w:val="98"/>
        <w:sz w:val="18"/>
        <w:szCs w:val="18"/>
        <w:lang w:val="en-US"/>
      </w:rPr>
      <w:t xml:space="preserve">Assessment Review Board, 655 Bay Street, Suite 1500, Toronto, Ontario M5G 1E5 </w:t>
    </w:r>
  </w:p>
  <w:p w14:paraId="17DE6994" w14:textId="77777777" w:rsidR="00B57C19" w:rsidRDefault="00B57C19" w:rsidP="00B57C19">
    <w:pPr>
      <w:pBdr>
        <w:bottom w:val="single" w:sz="4" w:space="2" w:color="auto"/>
      </w:pBdr>
      <w:tabs>
        <w:tab w:val="right" w:pos="360"/>
      </w:tabs>
      <w:spacing w:after="0" w:line="240" w:lineRule="auto"/>
      <w:ind w:left="90"/>
      <w:rPr>
        <w:rFonts w:ascii="Arial" w:hAnsi="Arial"/>
        <w:sz w:val="18"/>
        <w:szCs w:val="18"/>
        <w:lang w:val="en-US"/>
      </w:rPr>
    </w:pPr>
    <w:r>
      <w:rPr>
        <w:rFonts w:ascii="Arial" w:hAnsi="Arial"/>
        <w:b/>
        <w:bCs/>
        <w:sz w:val="18"/>
        <w:szCs w:val="18"/>
        <w:lang w:val="en-US"/>
      </w:rPr>
      <w:t>Phone:</w:t>
    </w:r>
    <w:r>
      <w:rPr>
        <w:rFonts w:ascii="Arial" w:hAnsi="Arial"/>
        <w:sz w:val="18"/>
        <w:szCs w:val="18"/>
        <w:lang w:val="en-US"/>
      </w:rPr>
      <w:t xml:space="preserve"> (416) 212-6349 or 1-866-448-2248 </w:t>
    </w:r>
    <w:r>
      <w:rPr>
        <w:rFonts w:ascii="Arial" w:hAnsi="Arial"/>
        <w:b/>
        <w:bCs/>
        <w:sz w:val="18"/>
        <w:szCs w:val="18"/>
        <w:lang w:val="en-US"/>
      </w:rPr>
      <w:t>Fax:</w:t>
    </w:r>
    <w:r>
      <w:rPr>
        <w:rFonts w:ascii="Arial" w:hAnsi="Arial"/>
        <w:sz w:val="18"/>
        <w:szCs w:val="18"/>
        <w:lang w:val="en-US"/>
      </w:rPr>
      <w:t xml:space="preserve"> (416) 314-3717 or 1-877-849-2066</w:t>
    </w:r>
  </w:p>
  <w:p w14:paraId="4A850E2F" w14:textId="77777777" w:rsidR="00B57C19" w:rsidRDefault="00B57C19" w:rsidP="00B57C19">
    <w:pPr>
      <w:pBdr>
        <w:bottom w:val="single" w:sz="4" w:space="2" w:color="auto"/>
      </w:pBdr>
      <w:tabs>
        <w:tab w:val="right" w:pos="360"/>
      </w:tabs>
      <w:spacing w:after="0" w:line="240" w:lineRule="auto"/>
      <w:ind w:left="90"/>
      <w:rPr>
        <w:rFonts w:ascii="Arial" w:hAnsi="Arial"/>
        <w:sz w:val="18"/>
        <w:szCs w:val="18"/>
        <w:lang w:val="en-US"/>
      </w:rPr>
    </w:pPr>
    <w:r>
      <w:rPr>
        <w:rFonts w:ascii="Arial" w:hAnsi="Arial"/>
        <w:b/>
        <w:bCs/>
        <w:sz w:val="18"/>
        <w:szCs w:val="18"/>
        <w:lang w:val="en-US"/>
      </w:rPr>
      <w:t>Website:</w:t>
    </w:r>
    <w:r>
      <w:rPr>
        <w:rFonts w:ascii="Arial" w:hAnsi="Arial"/>
        <w:sz w:val="18"/>
        <w:szCs w:val="18"/>
        <w:lang w:val="en-US"/>
      </w:rPr>
      <w:t xml:space="preserve"> </w:t>
    </w:r>
    <w:r>
      <w:rPr>
        <w:rFonts w:ascii="Arial" w:hAnsi="Arial" w:cs="Arial"/>
        <w:sz w:val="18"/>
        <w:szCs w:val="18"/>
        <w:lang w:val="en-US"/>
      </w:rPr>
      <w:t>www.</w:t>
    </w:r>
    <w:r w:rsidR="00DE42ED">
      <w:rPr>
        <w:rFonts w:ascii="Arial" w:hAnsi="Arial" w:cs="Arial"/>
        <w:sz w:val="18"/>
        <w:szCs w:val="18"/>
        <w:lang w:val="en-US"/>
      </w:rPr>
      <w:t>arb</w:t>
    </w:r>
    <w:r>
      <w:rPr>
        <w:rFonts w:ascii="Arial" w:hAnsi="Arial" w:cs="Arial"/>
        <w:sz w:val="18"/>
        <w:szCs w:val="18"/>
        <w:lang w:val="en-US"/>
      </w:rPr>
      <w:t>.gov.on.ca</w:t>
    </w:r>
    <w:r>
      <w:rPr>
        <w:rFonts w:ascii="Arial" w:hAnsi="Arial"/>
        <w:b/>
        <w:bCs/>
        <w:sz w:val="18"/>
        <w:szCs w:val="18"/>
        <w:lang w:val="en-US"/>
      </w:rPr>
      <w:t xml:space="preserve"> E-mail</w:t>
    </w:r>
    <w:r>
      <w:rPr>
        <w:rFonts w:ascii="Arial" w:hAnsi="Arial"/>
        <w:sz w:val="18"/>
        <w:szCs w:val="18"/>
        <w:lang w:val="en-US"/>
      </w:rPr>
      <w:t xml:space="preserve">: </w:t>
    </w:r>
    <w:r w:rsidR="00B73548" w:rsidRPr="00DE42ED">
      <w:rPr>
        <w:rFonts w:ascii="Arial" w:hAnsi="Arial" w:cs="Arial"/>
        <w:sz w:val="18"/>
        <w:szCs w:val="18"/>
        <w:lang w:val="en-US"/>
      </w:rPr>
      <w:t>arb.registrar@ontario.ca</w:t>
    </w:r>
    <w:r w:rsidR="00B73548">
      <w:rPr>
        <w:rFonts w:ascii="Arial" w:hAnsi="Arial" w:cs="Arial"/>
        <w:sz w:val="18"/>
        <w:szCs w:val="18"/>
        <w:lang w:val="en-US"/>
      </w:rPr>
      <w:t xml:space="preserve"> </w:t>
    </w:r>
  </w:p>
  <w:p w14:paraId="6D7DFC7C" w14:textId="77777777" w:rsidR="00B57C19" w:rsidRPr="00B57C19" w:rsidRDefault="00B57C19">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4D288" w14:textId="77777777" w:rsidR="00294775" w:rsidRDefault="00294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95CC8"/>
    <w:multiLevelType w:val="hybridMultilevel"/>
    <w:tmpl w:val="8214DF22"/>
    <w:lvl w:ilvl="0" w:tplc="5CCA290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71B7D82"/>
    <w:multiLevelType w:val="hybridMultilevel"/>
    <w:tmpl w:val="EB90B1AA"/>
    <w:lvl w:ilvl="0" w:tplc="1009001B">
      <w:start w:val="1"/>
      <w:numFmt w:val="lowerRoman"/>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5E715870"/>
    <w:multiLevelType w:val="hybridMultilevel"/>
    <w:tmpl w:val="877AB4C0"/>
    <w:lvl w:ilvl="0" w:tplc="C32A9E5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93"/>
    <w:rsid w:val="00125503"/>
    <w:rsid w:val="001A2DB9"/>
    <w:rsid w:val="001C577B"/>
    <w:rsid w:val="001C6349"/>
    <w:rsid w:val="001E0133"/>
    <w:rsid w:val="002812B8"/>
    <w:rsid w:val="0029255D"/>
    <w:rsid w:val="00294775"/>
    <w:rsid w:val="002A05BD"/>
    <w:rsid w:val="0036137B"/>
    <w:rsid w:val="003A037A"/>
    <w:rsid w:val="004204D9"/>
    <w:rsid w:val="005310CF"/>
    <w:rsid w:val="0058191E"/>
    <w:rsid w:val="00620893"/>
    <w:rsid w:val="00672759"/>
    <w:rsid w:val="00677568"/>
    <w:rsid w:val="00737A4F"/>
    <w:rsid w:val="007D4FF2"/>
    <w:rsid w:val="007F264B"/>
    <w:rsid w:val="00892FDE"/>
    <w:rsid w:val="008B2884"/>
    <w:rsid w:val="008B7C45"/>
    <w:rsid w:val="008F4C3A"/>
    <w:rsid w:val="00AB2E59"/>
    <w:rsid w:val="00B10083"/>
    <w:rsid w:val="00B57C19"/>
    <w:rsid w:val="00B73548"/>
    <w:rsid w:val="00B764A8"/>
    <w:rsid w:val="00C45A29"/>
    <w:rsid w:val="00C56B3F"/>
    <w:rsid w:val="00C708CE"/>
    <w:rsid w:val="00CF5313"/>
    <w:rsid w:val="00DE42ED"/>
    <w:rsid w:val="00DF4896"/>
    <w:rsid w:val="00E075A3"/>
    <w:rsid w:val="00F24072"/>
    <w:rsid w:val="00F54293"/>
    <w:rsid w:val="00FA40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C7038A"/>
  <w15:docId w15:val="{A5BF23C8-0808-415F-A681-370C0128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293"/>
    <w:pPr>
      <w:ind w:left="720"/>
      <w:contextualSpacing/>
    </w:pPr>
  </w:style>
  <w:style w:type="paragraph" w:styleId="Header">
    <w:name w:val="header"/>
    <w:basedOn w:val="Normal"/>
    <w:link w:val="HeaderChar"/>
    <w:uiPriority w:val="99"/>
    <w:unhideWhenUsed/>
    <w:rsid w:val="008F4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C3A"/>
  </w:style>
  <w:style w:type="paragraph" w:styleId="Footer">
    <w:name w:val="footer"/>
    <w:basedOn w:val="Normal"/>
    <w:link w:val="FooterChar"/>
    <w:uiPriority w:val="99"/>
    <w:unhideWhenUsed/>
    <w:rsid w:val="008F4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C3A"/>
  </w:style>
  <w:style w:type="character" w:styleId="Hyperlink">
    <w:name w:val="Hyperlink"/>
    <w:basedOn w:val="DefaultParagraphFont"/>
    <w:uiPriority w:val="99"/>
    <w:unhideWhenUsed/>
    <w:rsid w:val="00B735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4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McAnsh, Scott (MAG)</dc:creator>
  <cp:lastModifiedBy>McLean, Michael (MAG)</cp:lastModifiedBy>
  <cp:revision>2</cp:revision>
  <cp:lastPrinted>2020-06-18T14:42:00Z</cp:lastPrinted>
  <dcterms:created xsi:type="dcterms:W3CDTF">2020-06-29T16:32:00Z</dcterms:created>
  <dcterms:modified xsi:type="dcterms:W3CDTF">2020-06-29T16:32:00Z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Alex.Kappel@ontario.ca</vt:lpwstr>
  </property>
  <property fmtid="{D5CDD505-2E9C-101B-9397-08002B2CF9AE}" pid="5" name="MSIP_Label_034a106e-6316-442c-ad35-738afd673d2b_SetDate">
    <vt:lpwstr>2020-06-18T14:41:54.0590794Z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782e566f-5a90-40b6-80df-d5bfe91807d6</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