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27" w:rsidRDefault="00310B27" w:rsidP="00310B27">
      <w:pPr>
        <w:pStyle w:val="BodyTextIndent2"/>
        <w:ind w:left="0"/>
        <w:jc w:val="center"/>
        <w:rPr>
          <w:rFonts w:cs="Arial"/>
          <w:b/>
          <w:color w:val="000000"/>
          <w:spacing w:val="20"/>
          <w:sz w:val="24"/>
          <w:szCs w:val="24"/>
          <w:lang w:val="en"/>
        </w:rPr>
      </w:pPr>
      <w:r>
        <w:rPr>
          <w:noProof/>
          <w:lang w:val="en-CA" w:eastAsia="en-CA"/>
        </w:rPr>
        <w:drawing>
          <wp:inline distT="0" distB="0" distL="0" distR="0" wp14:anchorId="0E9F223B" wp14:editId="09F0F207">
            <wp:extent cx="763325" cy="938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4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26" cy="93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B27" w:rsidRPr="00F522B6" w:rsidRDefault="00310B27" w:rsidP="00310B27">
      <w:pPr>
        <w:pStyle w:val="Title"/>
        <w:spacing w:before="240" w:after="240"/>
      </w:pPr>
      <w:r w:rsidRPr="00F522B6">
        <w:t>Assessment Review Board</w:t>
      </w:r>
    </w:p>
    <w:p w:rsidR="00310B27" w:rsidRPr="00F04DED" w:rsidRDefault="00310B27" w:rsidP="00310B27">
      <w:pPr>
        <w:pStyle w:val="Title"/>
        <w:spacing w:before="240" w:after="240"/>
      </w:pPr>
      <w:r>
        <w:t>Combined Proceedings</w:t>
      </w:r>
    </w:p>
    <w:p w:rsidR="00310B27" w:rsidRDefault="00310B27" w:rsidP="00310B27">
      <w:pPr>
        <w:pStyle w:val="Title"/>
        <w:spacing w:before="240" w:after="240"/>
      </w:pPr>
      <w:r>
        <w:t>Effective April 1, 2017</w:t>
      </w:r>
    </w:p>
    <w:p w:rsidR="00B86F02" w:rsidRDefault="00281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Practice Direction – Combined Proceedings</w:t>
      </w:r>
    </w:p>
    <w:p w:rsidR="00281860" w:rsidRDefault="00281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situations in which the parties wish to have a number of appeals heard together. The Assessment Review Board’s</w:t>
      </w:r>
      <w:r w:rsidR="007F7887">
        <w:rPr>
          <w:rFonts w:ascii="Arial" w:hAnsi="Arial" w:cs="Arial"/>
          <w:sz w:val="24"/>
          <w:szCs w:val="24"/>
        </w:rPr>
        <w:t xml:space="preserve"> </w:t>
      </w:r>
      <w:r w:rsidR="00406142">
        <w:rPr>
          <w:rFonts w:ascii="Arial" w:hAnsi="Arial" w:cs="Arial"/>
          <w:sz w:val="24"/>
          <w:szCs w:val="24"/>
        </w:rPr>
        <w:t xml:space="preserve">(the ARB) </w:t>
      </w:r>
      <w:r w:rsidRPr="007F7887">
        <w:rPr>
          <w:rFonts w:ascii="Arial" w:hAnsi="Arial" w:cs="Arial"/>
          <w:sz w:val="24"/>
          <w:szCs w:val="24"/>
        </w:rPr>
        <w:t>Rules of Practice and Procedure</w:t>
      </w:r>
      <w:r>
        <w:rPr>
          <w:rFonts w:ascii="Arial" w:hAnsi="Arial" w:cs="Arial"/>
          <w:sz w:val="24"/>
          <w:szCs w:val="24"/>
        </w:rPr>
        <w:t xml:space="preserve"> set out the situations in which appeals may be combined or heard together. This practice direction sets out the process by which parties </w:t>
      </w:r>
      <w:r w:rsidR="00DA0E0F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request that appeals be heard together or combined.</w:t>
      </w:r>
    </w:p>
    <w:p w:rsidR="00665A65" w:rsidRDefault="00281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79 sets out the three implications of having appeals combined</w:t>
      </w:r>
      <w:r w:rsidR="00665A65">
        <w:rPr>
          <w:rFonts w:ascii="Arial" w:hAnsi="Arial" w:cs="Arial"/>
          <w:sz w:val="24"/>
          <w:szCs w:val="24"/>
        </w:rPr>
        <w:t xml:space="preserve"> and are outlined below:</w:t>
      </w:r>
    </w:p>
    <w:p w:rsidR="00665A65" w:rsidRDefault="00665A65" w:rsidP="007F788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A0E0F" w:rsidRPr="007F7887">
        <w:rPr>
          <w:rFonts w:ascii="Arial" w:hAnsi="Arial" w:cs="Arial"/>
          <w:sz w:val="24"/>
          <w:szCs w:val="24"/>
        </w:rPr>
        <w:t xml:space="preserve">eadlines set for the </w:t>
      </w:r>
      <w:r w:rsidR="00281860" w:rsidRPr="007F7887">
        <w:rPr>
          <w:rFonts w:ascii="Arial" w:hAnsi="Arial" w:cs="Arial"/>
          <w:sz w:val="24"/>
          <w:szCs w:val="24"/>
        </w:rPr>
        <w:t xml:space="preserve">procedural steps </w:t>
      </w:r>
      <w:r w:rsidR="00DA0E0F" w:rsidRPr="007F7887">
        <w:rPr>
          <w:rFonts w:ascii="Arial" w:hAnsi="Arial" w:cs="Arial"/>
          <w:sz w:val="24"/>
          <w:szCs w:val="24"/>
        </w:rPr>
        <w:t>in</w:t>
      </w:r>
      <w:r w:rsidR="00281860" w:rsidRPr="007F7887">
        <w:rPr>
          <w:rFonts w:ascii="Arial" w:hAnsi="Arial" w:cs="Arial"/>
          <w:sz w:val="24"/>
          <w:szCs w:val="24"/>
        </w:rPr>
        <w:t xml:space="preserve"> the schedule of events, applies to each appeal. </w:t>
      </w:r>
    </w:p>
    <w:p w:rsidR="00665A65" w:rsidRDefault="00665A65" w:rsidP="007F788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81860" w:rsidRPr="007F7887">
        <w:rPr>
          <w:rFonts w:ascii="Arial" w:hAnsi="Arial" w:cs="Arial"/>
          <w:sz w:val="24"/>
          <w:szCs w:val="24"/>
        </w:rPr>
        <w:t>he parties to each appeal all become parties to the combined appeal.</w:t>
      </w:r>
    </w:p>
    <w:p w:rsidR="00281860" w:rsidRPr="007F7887" w:rsidRDefault="00665A65" w:rsidP="007F788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81860" w:rsidRPr="007F7887">
        <w:rPr>
          <w:rFonts w:ascii="Arial" w:hAnsi="Arial" w:cs="Arial"/>
          <w:sz w:val="24"/>
          <w:szCs w:val="24"/>
        </w:rPr>
        <w:t>he evidence presented in the combined appeal applie</w:t>
      </w:r>
      <w:r w:rsidR="00DA0E0F" w:rsidRPr="007F7887">
        <w:rPr>
          <w:rFonts w:ascii="Arial" w:hAnsi="Arial" w:cs="Arial"/>
          <w:sz w:val="24"/>
          <w:szCs w:val="24"/>
        </w:rPr>
        <w:t>s</w:t>
      </w:r>
      <w:r w:rsidR="00281860" w:rsidRPr="007F7887">
        <w:rPr>
          <w:rFonts w:ascii="Arial" w:hAnsi="Arial" w:cs="Arial"/>
          <w:sz w:val="24"/>
          <w:szCs w:val="24"/>
        </w:rPr>
        <w:t xml:space="preserve"> to all of the appeals.</w:t>
      </w:r>
    </w:p>
    <w:p w:rsidR="00DF1F8A" w:rsidRDefault="00DF1F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may only combine proceedings with the consent of all parties.</w:t>
      </w:r>
    </w:p>
    <w:p w:rsidR="00281860" w:rsidRDefault="00281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parties to a group of appeals </w:t>
      </w:r>
      <w:r w:rsidR="00DF1F8A">
        <w:rPr>
          <w:rFonts w:ascii="Arial" w:hAnsi="Arial" w:cs="Arial"/>
          <w:sz w:val="24"/>
          <w:szCs w:val="24"/>
        </w:rPr>
        <w:t>all agree that those appeals should be combined they must request a combined proceeding in writing, setting out the:</w:t>
      </w:r>
    </w:p>
    <w:p w:rsidR="00DF1F8A" w:rsidRPr="00DF1F8A" w:rsidRDefault="00DF1F8A" w:rsidP="00DF1F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1F8A">
        <w:rPr>
          <w:rFonts w:ascii="Arial" w:hAnsi="Arial" w:cs="Arial"/>
          <w:sz w:val="24"/>
          <w:szCs w:val="24"/>
        </w:rPr>
        <w:t xml:space="preserve">appeals to </w:t>
      </w:r>
      <w:r w:rsidR="009706C8">
        <w:rPr>
          <w:rFonts w:ascii="Arial" w:hAnsi="Arial" w:cs="Arial"/>
          <w:sz w:val="24"/>
          <w:szCs w:val="24"/>
        </w:rPr>
        <w:t xml:space="preserve">be </w:t>
      </w:r>
      <w:r w:rsidRPr="00DF1F8A">
        <w:rPr>
          <w:rFonts w:ascii="Arial" w:hAnsi="Arial" w:cs="Arial"/>
          <w:sz w:val="24"/>
          <w:szCs w:val="24"/>
        </w:rPr>
        <w:t>combined;</w:t>
      </w:r>
    </w:p>
    <w:p w:rsidR="00DF1F8A" w:rsidRPr="00DF1F8A" w:rsidRDefault="00DF1F8A" w:rsidP="00DF1F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1F8A">
        <w:rPr>
          <w:rFonts w:ascii="Arial" w:hAnsi="Arial" w:cs="Arial"/>
          <w:sz w:val="24"/>
          <w:szCs w:val="24"/>
        </w:rPr>
        <w:t xml:space="preserve">questions of fact, law or policy, common to the appeals; and </w:t>
      </w:r>
    </w:p>
    <w:p w:rsidR="00DF1F8A" w:rsidRPr="00DF1F8A" w:rsidRDefault="00DF1F8A" w:rsidP="00DF1F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DF1F8A">
        <w:rPr>
          <w:rFonts w:ascii="Arial" w:hAnsi="Arial" w:cs="Arial"/>
          <w:sz w:val="24"/>
          <w:szCs w:val="24"/>
        </w:rPr>
        <w:t>written</w:t>
      </w:r>
      <w:proofErr w:type="gramEnd"/>
      <w:r w:rsidRPr="00DF1F8A">
        <w:rPr>
          <w:rFonts w:ascii="Arial" w:hAnsi="Arial" w:cs="Arial"/>
          <w:sz w:val="24"/>
          <w:szCs w:val="24"/>
        </w:rPr>
        <w:t xml:space="preserve"> consent of all parties to the appeals.</w:t>
      </w:r>
    </w:p>
    <w:p w:rsidR="00DF1F8A" w:rsidRPr="00281860" w:rsidRDefault="00DF1F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request must be sent to the Associate Chair of the </w:t>
      </w:r>
      <w:r w:rsidR="00665A65">
        <w:rPr>
          <w:rFonts w:ascii="Arial" w:hAnsi="Arial" w:cs="Arial"/>
          <w:sz w:val="24"/>
          <w:szCs w:val="24"/>
        </w:rPr>
        <w:t>ARB</w:t>
      </w:r>
      <w:r w:rsidR="007F78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who will decide if the appeals should be combined. Reasons will be provide for any denied requests to combine proceedings.</w:t>
      </w:r>
    </w:p>
    <w:sectPr w:rsidR="00DF1F8A" w:rsidRPr="002818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493"/>
    <w:multiLevelType w:val="hybridMultilevel"/>
    <w:tmpl w:val="852C6DF8"/>
    <w:lvl w:ilvl="0" w:tplc="10090017">
      <w:start w:val="1"/>
      <w:numFmt w:val="lowerLetter"/>
      <w:lvlText w:val="%1)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8DE38E2"/>
    <w:multiLevelType w:val="hybridMultilevel"/>
    <w:tmpl w:val="0046F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60"/>
    <w:rsid w:val="00281860"/>
    <w:rsid w:val="00310B27"/>
    <w:rsid w:val="00406142"/>
    <w:rsid w:val="004E4BCB"/>
    <w:rsid w:val="005C16CA"/>
    <w:rsid w:val="00665A65"/>
    <w:rsid w:val="006665B7"/>
    <w:rsid w:val="007F7887"/>
    <w:rsid w:val="00947841"/>
    <w:rsid w:val="009706C8"/>
    <w:rsid w:val="00B86F02"/>
    <w:rsid w:val="00DA0E0F"/>
    <w:rsid w:val="00D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6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310B27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10B27"/>
    <w:rPr>
      <w:rFonts w:ascii="Arial" w:eastAsia="Times New Roman" w:hAnsi="Arial" w:cs="Times New Roman"/>
      <w:sz w:val="20"/>
      <w:szCs w:val="20"/>
      <w:lang w:val="en-US"/>
    </w:rPr>
  </w:style>
  <w:style w:type="paragraph" w:styleId="Title">
    <w:name w:val="Title"/>
    <w:basedOn w:val="BodyTextIndent2"/>
    <w:next w:val="Normal"/>
    <w:link w:val="TitleChar"/>
    <w:uiPriority w:val="10"/>
    <w:qFormat/>
    <w:rsid w:val="00310B27"/>
    <w:pPr>
      <w:ind w:left="0"/>
      <w:jc w:val="center"/>
    </w:pPr>
    <w:rPr>
      <w:rFonts w:cs="Arial"/>
      <w:b/>
      <w:color w:val="000000"/>
      <w:spacing w:val="20"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310B27"/>
    <w:rPr>
      <w:rFonts w:ascii="Arial" w:eastAsia="Times New Roman" w:hAnsi="Arial" w:cs="Arial"/>
      <w:b/>
      <w:color w:val="000000"/>
      <w:spacing w:val="20"/>
      <w:sz w:val="24"/>
      <w:szCs w:val="24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6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310B27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10B27"/>
    <w:rPr>
      <w:rFonts w:ascii="Arial" w:eastAsia="Times New Roman" w:hAnsi="Arial" w:cs="Times New Roman"/>
      <w:sz w:val="20"/>
      <w:szCs w:val="20"/>
      <w:lang w:val="en-US"/>
    </w:rPr>
  </w:style>
  <w:style w:type="paragraph" w:styleId="Title">
    <w:name w:val="Title"/>
    <w:basedOn w:val="BodyTextIndent2"/>
    <w:next w:val="Normal"/>
    <w:link w:val="TitleChar"/>
    <w:uiPriority w:val="10"/>
    <w:qFormat/>
    <w:rsid w:val="00310B27"/>
    <w:pPr>
      <w:ind w:left="0"/>
      <w:jc w:val="center"/>
    </w:pPr>
    <w:rPr>
      <w:rFonts w:cs="Arial"/>
      <w:b/>
      <w:color w:val="000000"/>
      <w:spacing w:val="20"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310B27"/>
    <w:rPr>
      <w:rFonts w:ascii="Arial" w:eastAsia="Times New Roman" w:hAnsi="Arial" w:cs="Arial"/>
      <w:b/>
      <w:color w:val="000000"/>
      <w:spacing w:val="20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McAnsh, Scott (MAG)</dc:creator>
  <cp:lastModifiedBy>Toye, Ben (MAG)</cp:lastModifiedBy>
  <cp:revision>1</cp:revision>
  <dcterms:created xsi:type="dcterms:W3CDTF">2019-03-19T13:12:00Z</dcterms:created>
  <dcterms:modified xsi:type="dcterms:W3CDTF">2019-03-19T13:12:00Z</dcterms:modified>
</cp:coreProperties>
</file>