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CBB2" w14:textId="78CC380A" w:rsidR="004204D9" w:rsidRPr="00E028DE" w:rsidRDefault="00217B99" w:rsidP="00B57C19">
      <w:pPr>
        <w:jc w:val="center"/>
        <w:rPr>
          <w:rFonts w:ascii="Arial" w:hAnsi="Arial" w:cs="Arial"/>
          <w:b/>
          <w:sz w:val="28"/>
          <w:szCs w:val="24"/>
          <w:lang w:val="fr-CA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  <w:lang w:val="fr-CA"/>
        </w:rPr>
        <w:t>LIGNE DIRECTRICE</w:t>
      </w:r>
    </w:p>
    <w:p w14:paraId="3AD62C8D" w14:textId="57CD0BB2" w:rsidR="007D4FF2" w:rsidRPr="00E028DE" w:rsidRDefault="00217B99" w:rsidP="00F54293">
      <w:pPr>
        <w:jc w:val="center"/>
        <w:rPr>
          <w:rFonts w:ascii="Arial" w:hAnsi="Arial" w:cs="Arial"/>
          <w:b/>
          <w:sz w:val="28"/>
          <w:szCs w:val="24"/>
          <w:lang w:val="fr-CA"/>
        </w:rPr>
      </w:pPr>
      <w:r>
        <w:rPr>
          <w:rFonts w:ascii="Arial" w:hAnsi="Arial" w:cs="Arial"/>
          <w:b/>
          <w:sz w:val="28"/>
          <w:szCs w:val="24"/>
          <w:lang w:val="fr-CA"/>
        </w:rPr>
        <w:t xml:space="preserve">PROGRAMME </w:t>
      </w:r>
      <w:r w:rsidR="00012102">
        <w:rPr>
          <w:rFonts w:ascii="Arial" w:hAnsi="Arial" w:cs="Arial"/>
          <w:b/>
          <w:sz w:val="28"/>
          <w:szCs w:val="24"/>
          <w:lang w:val="fr-CA"/>
        </w:rPr>
        <w:t>DES BIENS DE CATÉGORIE SPÉCIALE</w:t>
      </w:r>
    </w:p>
    <w:p w14:paraId="4578029A" w14:textId="77777777" w:rsidR="004204D9" w:rsidRPr="00E028DE" w:rsidRDefault="004204D9" w:rsidP="00F54293">
      <w:pPr>
        <w:jc w:val="center"/>
        <w:rPr>
          <w:rFonts w:ascii="Arial" w:hAnsi="Arial" w:cs="Arial"/>
          <w:b/>
          <w:sz w:val="28"/>
          <w:szCs w:val="24"/>
          <w:lang w:val="fr-CA"/>
        </w:rPr>
      </w:pPr>
    </w:p>
    <w:p w14:paraId="28089E92" w14:textId="33BE07BA" w:rsidR="00F54293" w:rsidRPr="00E028DE" w:rsidRDefault="00217B99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La Commission de révision des évaluations foncières peut accorder une exemption partielle de la règle 37 dans le cas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appels touchant des biens-fonds</w:t>
      </w:r>
      <w:r w:rsidR="00DC4D00">
        <w:rPr>
          <w:rFonts w:ascii="Arial" w:hAnsi="Arial" w:cs="Arial"/>
          <w:sz w:val="24"/>
          <w:szCs w:val="24"/>
          <w:lang w:val="fr-CA"/>
        </w:rPr>
        <w:t xml:space="preserve"> </w:t>
      </w:r>
      <w:r w:rsidR="00012102">
        <w:rPr>
          <w:rFonts w:ascii="Arial" w:hAnsi="Arial" w:cs="Arial"/>
          <w:sz w:val="24"/>
          <w:szCs w:val="24"/>
          <w:lang w:val="fr-CA"/>
        </w:rPr>
        <w:t>lorsque</w:t>
      </w:r>
      <w:r w:rsidR="00DC4D00">
        <w:rPr>
          <w:rFonts w:ascii="Arial" w:hAnsi="Arial" w:cs="Arial"/>
          <w:sz w:val="24"/>
          <w:szCs w:val="24"/>
          <w:lang w:val="fr-CA"/>
        </w:rPr>
        <w:t xml:space="preserve"> les questions en litige sont </w:t>
      </w:r>
      <w:r>
        <w:rPr>
          <w:rFonts w:ascii="Arial" w:hAnsi="Arial" w:cs="Arial"/>
          <w:sz w:val="24"/>
          <w:szCs w:val="24"/>
          <w:lang w:val="fr-CA"/>
        </w:rPr>
        <w:t xml:space="preserve">particulièrement complexes. </w:t>
      </w:r>
    </w:p>
    <w:p w14:paraId="6DB80B99" w14:textId="77777777" w:rsidR="00F54293" w:rsidRPr="00E028DE" w:rsidRDefault="00F54293">
      <w:pPr>
        <w:rPr>
          <w:rFonts w:ascii="Arial" w:hAnsi="Arial" w:cs="Arial"/>
          <w:sz w:val="24"/>
          <w:szCs w:val="24"/>
          <w:u w:val="single"/>
          <w:lang w:val="fr-CA"/>
        </w:rPr>
      </w:pPr>
      <w:r w:rsidRPr="00E028DE">
        <w:rPr>
          <w:rFonts w:ascii="Arial" w:hAnsi="Arial" w:cs="Arial"/>
          <w:sz w:val="24"/>
          <w:szCs w:val="24"/>
          <w:u w:val="single"/>
          <w:lang w:val="fr-CA"/>
        </w:rPr>
        <w:t>Exception</w:t>
      </w:r>
    </w:p>
    <w:p w14:paraId="70CC9BBF" w14:textId="6616ED5C" w:rsidR="00DC4D00" w:rsidRPr="00E028DE" w:rsidRDefault="00DC4D00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 programme vise à accorder une exemption partielle de la règle 37 qui prévoit ce qui</w:t>
      </w:r>
      <w:r w:rsidR="00012102"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/>
          <w:sz w:val="24"/>
          <w:szCs w:val="24"/>
          <w:lang w:val="fr-CA"/>
        </w:rPr>
        <w:t xml:space="preserve">suit : </w:t>
      </w:r>
    </w:p>
    <w:p w14:paraId="026E01BD" w14:textId="51828FC7" w:rsidR="00F54293" w:rsidRPr="00E028DE" w:rsidRDefault="00F54293" w:rsidP="00F54293">
      <w:pPr>
        <w:spacing w:line="240" w:lineRule="auto"/>
        <w:ind w:left="1418" w:right="855" w:hanging="567"/>
        <w:jc w:val="both"/>
        <w:rPr>
          <w:rFonts w:ascii="Arial" w:hAnsi="Arial" w:cs="Arial"/>
          <w:sz w:val="24"/>
          <w:szCs w:val="24"/>
          <w:lang w:val="fr-CA"/>
        </w:rPr>
      </w:pPr>
      <w:r w:rsidRPr="00E028DE">
        <w:rPr>
          <w:rFonts w:ascii="Arial" w:hAnsi="Arial" w:cs="Arial"/>
          <w:sz w:val="24"/>
          <w:szCs w:val="24"/>
          <w:lang w:val="fr-CA"/>
        </w:rPr>
        <w:t>37.</w:t>
      </w:r>
      <w:r w:rsidRPr="00E028DE">
        <w:rPr>
          <w:rFonts w:ascii="Arial" w:hAnsi="Arial" w:cs="Arial"/>
          <w:sz w:val="24"/>
          <w:szCs w:val="24"/>
          <w:lang w:val="fr-CA"/>
        </w:rPr>
        <w:tab/>
      </w:r>
      <w:r w:rsidR="00E028DE" w:rsidRPr="00E028DE">
        <w:rPr>
          <w:rFonts w:ascii="Arial" w:hAnsi="Arial" w:cs="Arial"/>
          <w:sz w:val="24"/>
          <w:szCs w:val="24"/>
          <w:lang w:val="fr-CA"/>
        </w:rPr>
        <w:tab/>
        <w:t>Au plus tard à la date limite de dépôt prévue dans le calendrier des procédures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E028DE" w:rsidRPr="00E028DE">
        <w:rPr>
          <w:rFonts w:ascii="Arial" w:hAnsi="Arial" w:cs="Arial"/>
          <w:sz w:val="24"/>
          <w:szCs w:val="24"/>
          <w:lang w:val="fr-CA"/>
        </w:rPr>
        <w:t>une instance, chaque partie doit déposer tous les documents sur lesquels elle a 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E028DE" w:rsidRPr="00E028DE">
        <w:rPr>
          <w:rFonts w:ascii="Arial" w:hAnsi="Arial" w:cs="Arial"/>
          <w:sz w:val="24"/>
          <w:szCs w:val="24"/>
          <w:lang w:val="fr-CA"/>
        </w:rPr>
        <w:t>intention de se fonder lors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E028DE" w:rsidRPr="00E028DE">
        <w:rPr>
          <w:rFonts w:ascii="Arial" w:hAnsi="Arial" w:cs="Arial"/>
          <w:sz w:val="24"/>
          <w:szCs w:val="24"/>
          <w:lang w:val="fr-CA"/>
        </w:rPr>
        <w:t>une procédure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E028DE" w:rsidRPr="00E028DE">
        <w:rPr>
          <w:rFonts w:ascii="Arial" w:hAnsi="Arial" w:cs="Arial"/>
          <w:sz w:val="24"/>
          <w:szCs w:val="24"/>
          <w:lang w:val="fr-CA"/>
        </w:rPr>
        <w:t>audition, notamment ce qui suit:</w:t>
      </w:r>
      <w:r w:rsidRPr="00E028DE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6335F54" w14:textId="64D919E2" w:rsidR="00E028DE" w:rsidRPr="00E028DE" w:rsidRDefault="00E028DE" w:rsidP="00E028DE">
      <w:pPr>
        <w:spacing w:line="240" w:lineRule="auto"/>
        <w:ind w:left="1701" w:right="856"/>
        <w:contextualSpacing/>
        <w:jc w:val="both"/>
        <w:rPr>
          <w:rFonts w:ascii="Arial" w:hAnsi="Arial" w:cs="Arial"/>
          <w:sz w:val="24"/>
          <w:szCs w:val="24"/>
          <w:lang w:val="fr-CA"/>
        </w:rPr>
      </w:pPr>
      <w:r w:rsidRPr="00E028DE">
        <w:rPr>
          <w:rFonts w:ascii="Arial" w:hAnsi="Arial" w:cs="Arial"/>
          <w:sz w:val="24"/>
          <w:szCs w:val="24"/>
          <w:lang w:val="fr-CA"/>
        </w:rPr>
        <w:t>a)</w:t>
      </w:r>
      <w:r w:rsidRPr="00E028DE">
        <w:rPr>
          <w:rFonts w:ascii="Arial" w:hAnsi="Arial" w:cs="Arial"/>
          <w:sz w:val="24"/>
          <w:szCs w:val="24"/>
          <w:lang w:val="fr-CA"/>
        </w:rPr>
        <w:tab/>
        <w:t>tous les éléments de preuve, dont les rapports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Pr="00E028DE">
        <w:rPr>
          <w:rFonts w:ascii="Arial" w:hAnsi="Arial" w:cs="Arial"/>
          <w:sz w:val="24"/>
          <w:szCs w:val="24"/>
          <w:lang w:val="fr-CA"/>
        </w:rPr>
        <w:t>expert;</w:t>
      </w:r>
    </w:p>
    <w:p w14:paraId="2BDD0929" w14:textId="77777777" w:rsidR="00E028DE" w:rsidRPr="00E028DE" w:rsidRDefault="00E028DE" w:rsidP="00E028DE">
      <w:pPr>
        <w:spacing w:line="240" w:lineRule="auto"/>
        <w:ind w:left="1701" w:right="856"/>
        <w:contextualSpacing/>
        <w:jc w:val="both"/>
        <w:rPr>
          <w:rFonts w:ascii="Arial" w:hAnsi="Arial" w:cs="Arial"/>
          <w:sz w:val="24"/>
          <w:szCs w:val="24"/>
          <w:lang w:val="fr-CA"/>
        </w:rPr>
      </w:pPr>
      <w:r w:rsidRPr="00E028DE">
        <w:rPr>
          <w:rFonts w:ascii="Arial" w:hAnsi="Arial" w:cs="Arial"/>
          <w:sz w:val="24"/>
          <w:szCs w:val="24"/>
          <w:lang w:val="fr-CA"/>
        </w:rPr>
        <w:t>b)</w:t>
      </w:r>
      <w:r w:rsidRPr="00E028DE">
        <w:rPr>
          <w:rFonts w:ascii="Arial" w:hAnsi="Arial" w:cs="Arial"/>
          <w:sz w:val="24"/>
          <w:szCs w:val="24"/>
          <w:lang w:val="fr-CA"/>
        </w:rPr>
        <w:tab/>
        <w:t>les exposés des questions en litige et les réponses;</w:t>
      </w:r>
    </w:p>
    <w:p w14:paraId="580C1F49" w14:textId="59B5363F" w:rsidR="00F54293" w:rsidRPr="00E028DE" w:rsidRDefault="00E028DE" w:rsidP="00E028DE">
      <w:pPr>
        <w:spacing w:line="240" w:lineRule="auto"/>
        <w:ind w:left="1701" w:right="856"/>
        <w:contextualSpacing/>
        <w:jc w:val="both"/>
        <w:rPr>
          <w:rFonts w:ascii="Arial" w:hAnsi="Arial" w:cs="Arial"/>
          <w:sz w:val="24"/>
          <w:szCs w:val="24"/>
          <w:lang w:val="fr-CA"/>
        </w:rPr>
      </w:pPr>
      <w:r w:rsidRPr="00E028DE">
        <w:rPr>
          <w:rFonts w:ascii="Arial" w:hAnsi="Arial" w:cs="Arial"/>
          <w:sz w:val="24"/>
          <w:szCs w:val="24"/>
          <w:lang w:val="fr-CA"/>
        </w:rPr>
        <w:t>c)</w:t>
      </w:r>
      <w:r w:rsidRPr="00E028DE">
        <w:rPr>
          <w:rFonts w:ascii="Arial" w:hAnsi="Arial" w:cs="Arial"/>
          <w:sz w:val="24"/>
          <w:szCs w:val="24"/>
          <w:lang w:val="fr-CA"/>
        </w:rPr>
        <w:tab/>
        <w:t>les déclarations de témoins</w:t>
      </w:r>
      <w:r w:rsidR="00F54293" w:rsidRPr="00E028DE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64190976" w14:textId="77777777" w:rsidR="004204D9" w:rsidRPr="00E028DE" w:rsidRDefault="004204D9">
      <w:pPr>
        <w:rPr>
          <w:rFonts w:ascii="Arial" w:hAnsi="Arial" w:cs="Arial"/>
          <w:sz w:val="24"/>
          <w:szCs w:val="24"/>
          <w:lang w:val="fr-CA"/>
        </w:rPr>
      </w:pPr>
    </w:p>
    <w:p w14:paraId="2F8CDAD2" w14:textId="70FEB9EA" w:rsidR="00F54293" w:rsidRPr="00E028DE" w:rsidRDefault="0097060F" w:rsidP="00DA0D9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Dans les affaires complexes, il peut être difficile de déposer un rapport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expert comple</w:t>
      </w:r>
      <w:r w:rsidR="00012102">
        <w:rPr>
          <w:rFonts w:ascii="Arial" w:hAnsi="Arial" w:cs="Arial"/>
          <w:sz w:val="24"/>
          <w:szCs w:val="24"/>
          <w:lang w:val="fr-CA"/>
        </w:rPr>
        <w:t>t</w:t>
      </w:r>
      <w:r>
        <w:rPr>
          <w:rFonts w:ascii="Arial" w:hAnsi="Arial" w:cs="Arial"/>
          <w:sz w:val="24"/>
          <w:szCs w:val="24"/>
          <w:lang w:val="fr-CA"/>
        </w:rPr>
        <w:t xml:space="preserve"> avant la </w:t>
      </w:r>
      <w:r w:rsidR="00DA0D97">
        <w:rPr>
          <w:rFonts w:ascii="Arial" w:hAnsi="Arial" w:cs="Arial"/>
          <w:sz w:val="24"/>
          <w:szCs w:val="24"/>
          <w:lang w:val="fr-CA"/>
        </w:rPr>
        <w:t>conférence en vue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DA0D97">
        <w:rPr>
          <w:rFonts w:ascii="Arial" w:hAnsi="Arial" w:cs="Arial"/>
          <w:sz w:val="24"/>
          <w:szCs w:val="24"/>
          <w:lang w:val="fr-CA"/>
        </w:rPr>
        <w:t xml:space="preserve">un règlement. En vertu du programme </w:t>
      </w:r>
      <w:r w:rsidR="00012102">
        <w:rPr>
          <w:rFonts w:ascii="Arial" w:hAnsi="Arial" w:cs="Arial"/>
          <w:sz w:val="24"/>
          <w:szCs w:val="24"/>
          <w:lang w:val="fr-CA"/>
        </w:rPr>
        <w:t xml:space="preserve">des </w:t>
      </w:r>
      <w:bookmarkStart w:id="1" w:name="_Hlk11400816"/>
      <w:r w:rsidR="00012102">
        <w:rPr>
          <w:rFonts w:ascii="Arial" w:hAnsi="Arial" w:cs="Arial"/>
          <w:sz w:val="24"/>
          <w:szCs w:val="24"/>
          <w:lang w:val="fr-CA"/>
        </w:rPr>
        <w:t>biens de la catégorie spéciale</w:t>
      </w:r>
      <w:bookmarkEnd w:id="1"/>
      <w:r w:rsidR="00DA0D97">
        <w:rPr>
          <w:rFonts w:ascii="Arial" w:hAnsi="Arial" w:cs="Arial"/>
          <w:sz w:val="24"/>
          <w:szCs w:val="24"/>
          <w:lang w:val="fr-CA"/>
        </w:rPr>
        <w:t>, les parties ne seront pas tenues de déposer les rapports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DA0D97">
        <w:rPr>
          <w:rFonts w:ascii="Arial" w:hAnsi="Arial" w:cs="Arial"/>
          <w:sz w:val="24"/>
          <w:szCs w:val="24"/>
          <w:lang w:val="fr-CA"/>
        </w:rPr>
        <w:t>expert dans les délais prévus. Tous les autres aspects de 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DA0D97">
        <w:rPr>
          <w:rFonts w:ascii="Arial" w:hAnsi="Arial" w:cs="Arial"/>
          <w:sz w:val="24"/>
          <w:szCs w:val="24"/>
          <w:lang w:val="fr-CA"/>
        </w:rPr>
        <w:t xml:space="preserve">article 37 </w:t>
      </w:r>
      <w:r w:rsidR="00E925F1">
        <w:rPr>
          <w:rFonts w:ascii="Arial" w:hAnsi="Arial" w:cs="Arial"/>
          <w:sz w:val="24"/>
          <w:szCs w:val="24"/>
          <w:lang w:val="fr-CA"/>
        </w:rPr>
        <w:t>devront</w:t>
      </w:r>
      <w:r w:rsidR="00DA0D97">
        <w:rPr>
          <w:rFonts w:ascii="Arial" w:hAnsi="Arial" w:cs="Arial"/>
          <w:sz w:val="24"/>
          <w:szCs w:val="24"/>
          <w:lang w:val="fr-CA"/>
        </w:rPr>
        <w:t xml:space="preserve"> être respectés pour tous les appels, y compris ceux qui sont fait</w:t>
      </w:r>
      <w:r w:rsidR="00012102">
        <w:rPr>
          <w:rFonts w:ascii="Arial" w:hAnsi="Arial" w:cs="Arial"/>
          <w:sz w:val="24"/>
          <w:szCs w:val="24"/>
          <w:lang w:val="fr-CA"/>
        </w:rPr>
        <w:t>s</w:t>
      </w:r>
      <w:r w:rsidR="00DA0D97">
        <w:rPr>
          <w:rFonts w:ascii="Arial" w:hAnsi="Arial" w:cs="Arial"/>
          <w:sz w:val="24"/>
          <w:szCs w:val="24"/>
          <w:lang w:val="fr-CA"/>
        </w:rPr>
        <w:t xml:space="preserve"> dans le cadre du programme des </w:t>
      </w:r>
      <w:r w:rsidR="00012102" w:rsidRPr="00012102">
        <w:rPr>
          <w:rFonts w:ascii="Arial" w:hAnsi="Arial" w:cs="Arial"/>
          <w:sz w:val="24"/>
          <w:szCs w:val="24"/>
          <w:lang w:val="fr-CA"/>
        </w:rPr>
        <w:t>biens de la catégorie spéciale</w:t>
      </w:r>
      <w:r w:rsidR="00DA0D97">
        <w:rPr>
          <w:rFonts w:ascii="Arial" w:hAnsi="Arial" w:cs="Arial"/>
          <w:sz w:val="24"/>
          <w:szCs w:val="24"/>
          <w:lang w:val="fr-CA"/>
        </w:rPr>
        <w:t>.</w:t>
      </w:r>
    </w:p>
    <w:p w14:paraId="49B373CB" w14:textId="4C6B61DA" w:rsidR="00F54293" w:rsidRPr="00E028DE" w:rsidRDefault="00DA0D97" w:rsidP="00DA0D9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Au lieu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un rapport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 xml:space="preserve">expert, les parties devront déposer des documents </w:t>
      </w:r>
      <w:r w:rsidR="00012102">
        <w:rPr>
          <w:rFonts w:ascii="Arial" w:hAnsi="Arial" w:cs="Arial"/>
          <w:sz w:val="24"/>
          <w:szCs w:val="24"/>
          <w:lang w:val="fr-CA"/>
        </w:rPr>
        <w:t>énonçant</w:t>
      </w:r>
      <w:r>
        <w:rPr>
          <w:rFonts w:ascii="Arial" w:hAnsi="Arial" w:cs="Arial"/>
          <w:sz w:val="24"/>
          <w:szCs w:val="24"/>
          <w:lang w:val="fr-CA"/>
        </w:rPr>
        <w:t xml:space="preserve"> ce qui suit : </w:t>
      </w:r>
    </w:p>
    <w:p w14:paraId="77FB9755" w14:textId="6D8148ED" w:rsidR="00FF789A" w:rsidRDefault="00DA0D97" w:rsidP="00FF789A">
      <w:pPr>
        <w:tabs>
          <w:tab w:val="left" w:pos="993"/>
        </w:tabs>
        <w:spacing w:after="0"/>
        <w:ind w:left="993" w:hanging="28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a)</w:t>
      </w:r>
      <w:r w:rsidR="00FF789A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>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 xml:space="preserve">opinion de cette partie concernant </w:t>
      </w:r>
      <w:r w:rsidR="00FF789A">
        <w:rPr>
          <w:rFonts w:ascii="Arial" w:hAnsi="Arial" w:cs="Arial"/>
          <w:sz w:val="24"/>
          <w:szCs w:val="24"/>
          <w:lang w:val="fr-CA"/>
        </w:rPr>
        <w:t>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FF789A">
        <w:rPr>
          <w:rFonts w:ascii="Arial" w:hAnsi="Arial" w:cs="Arial"/>
          <w:sz w:val="24"/>
          <w:szCs w:val="24"/>
          <w:lang w:val="fr-CA"/>
        </w:rPr>
        <w:t>utilisation optimale du bien-fonds;</w:t>
      </w:r>
    </w:p>
    <w:p w14:paraId="3E6DB850" w14:textId="51959357" w:rsidR="00FF789A" w:rsidRDefault="00FF789A" w:rsidP="00FF789A">
      <w:pPr>
        <w:tabs>
          <w:tab w:val="left" w:pos="993"/>
        </w:tabs>
        <w:spacing w:after="0"/>
        <w:ind w:left="993" w:hanging="28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b)</w:t>
      </w:r>
      <w:r>
        <w:rPr>
          <w:rFonts w:ascii="Arial" w:hAnsi="Arial" w:cs="Arial"/>
          <w:sz w:val="24"/>
          <w:szCs w:val="24"/>
          <w:lang w:val="fr-CA"/>
        </w:rPr>
        <w:tab/>
        <w:t>la méthode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évaluation choisie relativement au bien-fonds et la raison de ce choix;</w:t>
      </w:r>
    </w:p>
    <w:p w14:paraId="6D77C408" w14:textId="7584D9B1" w:rsidR="00FF789A" w:rsidRDefault="00FF789A" w:rsidP="00FF789A">
      <w:pPr>
        <w:tabs>
          <w:tab w:val="left" w:pos="993"/>
        </w:tabs>
        <w:spacing w:after="0"/>
        <w:ind w:left="993" w:hanging="28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c)</w:t>
      </w:r>
      <w:r>
        <w:rPr>
          <w:rFonts w:ascii="Arial" w:hAnsi="Arial" w:cs="Arial"/>
          <w:sz w:val="24"/>
          <w:szCs w:val="24"/>
          <w:lang w:val="fr-CA"/>
        </w:rPr>
        <w:tab/>
        <w:t>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opinion de la partie sur la valeur du bien-fonds avec une explication;</w:t>
      </w:r>
    </w:p>
    <w:p w14:paraId="1BC6665A" w14:textId="1813E7E7" w:rsidR="00FF789A" w:rsidRDefault="00FF789A" w:rsidP="00FF789A">
      <w:pPr>
        <w:tabs>
          <w:tab w:val="left" w:pos="993"/>
        </w:tabs>
        <w:spacing w:after="0"/>
        <w:ind w:left="993" w:hanging="28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d)</w:t>
      </w:r>
      <w:r>
        <w:rPr>
          <w:rFonts w:ascii="Arial" w:hAnsi="Arial" w:cs="Arial"/>
          <w:sz w:val="24"/>
          <w:szCs w:val="24"/>
          <w:lang w:val="fr-CA"/>
        </w:rPr>
        <w:tab/>
        <w:t>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opinion de la partie sur une évaluation équitable avec une explication;</w:t>
      </w:r>
    </w:p>
    <w:p w14:paraId="20383993" w14:textId="77FE6C80" w:rsidR="00FF789A" w:rsidRDefault="00FF789A" w:rsidP="00FF789A">
      <w:pPr>
        <w:tabs>
          <w:tab w:val="left" w:pos="993"/>
        </w:tabs>
        <w:spacing w:after="0"/>
        <w:ind w:left="993" w:hanging="28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e)</w:t>
      </w:r>
      <w:r>
        <w:rPr>
          <w:rFonts w:ascii="Arial" w:hAnsi="Arial" w:cs="Arial"/>
          <w:sz w:val="24"/>
          <w:szCs w:val="24"/>
          <w:lang w:val="fr-CA"/>
        </w:rPr>
        <w:tab/>
        <w:t>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opinion de la partie sur les positions des autres parties;</w:t>
      </w:r>
    </w:p>
    <w:p w14:paraId="071476CC" w14:textId="5CA9F308" w:rsidR="00FF789A" w:rsidRDefault="00FF789A" w:rsidP="00FF789A">
      <w:pPr>
        <w:tabs>
          <w:tab w:val="left" w:pos="993"/>
        </w:tabs>
        <w:spacing w:after="0"/>
        <w:ind w:left="993" w:hanging="28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f)</w:t>
      </w:r>
      <w:r>
        <w:rPr>
          <w:rFonts w:ascii="Arial" w:hAnsi="Arial" w:cs="Arial"/>
          <w:sz w:val="24"/>
          <w:szCs w:val="24"/>
          <w:lang w:val="fr-CA"/>
        </w:rPr>
        <w:tab/>
        <w:t>une liste des documents étayant 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opinion de la partie;</w:t>
      </w:r>
    </w:p>
    <w:p w14:paraId="3996F1F4" w14:textId="70FDE989" w:rsidR="008F4C3A" w:rsidRPr="00E028DE" w:rsidRDefault="00FF789A" w:rsidP="00FF789A">
      <w:pPr>
        <w:tabs>
          <w:tab w:val="left" w:pos="993"/>
        </w:tabs>
        <w:spacing w:after="0"/>
        <w:ind w:left="993" w:hanging="28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g)</w:t>
      </w:r>
      <w:r>
        <w:rPr>
          <w:rFonts w:ascii="Arial" w:hAnsi="Arial" w:cs="Arial"/>
          <w:sz w:val="24"/>
          <w:szCs w:val="24"/>
          <w:lang w:val="fr-CA"/>
        </w:rPr>
        <w:tab/>
        <w:t>une attestation démontrant que la partie peut discuter des questions en litige en détail, et de bonne foi, malgré 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absence de rapports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expert.</w:t>
      </w:r>
    </w:p>
    <w:p w14:paraId="457EBB0A" w14:textId="2A63C566" w:rsidR="00125503" w:rsidRDefault="00FF789A" w:rsidP="008F4C3A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Seuls les appels approuvés aux fins du programme </w:t>
      </w:r>
      <w:r w:rsidR="00012102">
        <w:rPr>
          <w:rFonts w:ascii="Arial" w:hAnsi="Arial" w:cs="Arial"/>
          <w:sz w:val="24"/>
          <w:szCs w:val="24"/>
          <w:lang w:val="fr-CA"/>
        </w:rPr>
        <w:t xml:space="preserve">des </w:t>
      </w:r>
      <w:r w:rsidR="00012102" w:rsidRPr="00012102">
        <w:rPr>
          <w:rFonts w:ascii="Arial" w:hAnsi="Arial" w:cs="Arial"/>
          <w:sz w:val="24"/>
          <w:szCs w:val="24"/>
          <w:lang w:val="fr-CA"/>
        </w:rPr>
        <w:t xml:space="preserve">biens de la catégorie spéciale </w:t>
      </w:r>
      <w:r w:rsidR="000E27AF">
        <w:rPr>
          <w:rFonts w:ascii="Arial" w:hAnsi="Arial" w:cs="Arial"/>
          <w:sz w:val="24"/>
          <w:szCs w:val="24"/>
          <w:lang w:val="fr-CA"/>
        </w:rPr>
        <w:t>seront partiellement exemptés de la règle 37. Les parties à un appel visé par le programme pour</w:t>
      </w:r>
      <w:r w:rsidR="00012102">
        <w:rPr>
          <w:rFonts w:ascii="Arial" w:hAnsi="Arial" w:cs="Arial"/>
          <w:sz w:val="24"/>
          <w:szCs w:val="24"/>
          <w:lang w:val="fr-CA"/>
        </w:rPr>
        <w:t>ront</w:t>
      </w:r>
      <w:r w:rsidR="000E27AF">
        <w:rPr>
          <w:rFonts w:ascii="Arial" w:hAnsi="Arial" w:cs="Arial"/>
          <w:sz w:val="24"/>
          <w:szCs w:val="24"/>
          <w:lang w:val="fr-CA"/>
        </w:rPr>
        <w:t xml:space="preserve"> déposer des rapports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0E27AF">
        <w:rPr>
          <w:rFonts w:ascii="Arial" w:hAnsi="Arial" w:cs="Arial"/>
          <w:sz w:val="24"/>
          <w:szCs w:val="24"/>
          <w:lang w:val="fr-CA"/>
        </w:rPr>
        <w:t>expert après la conférence en vue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0E27AF">
        <w:rPr>
          <w:rFonts w:ascii="Arial" w:hAnsi="Arial" w:cs="Arial"/>
          <w:sz w:val="24"/>
          <w:szCs w:val="24"/>
          <w:lang w:val="fr-CA"/>
        </w:rPr>
        <w:t xml:space="preserve">un règlement, si une nouvelle comparution devant la Commission est </w:t>
      </w:r>
      <w:r w:rsidR="00012102">
        <w:rPr>
          <w:rFonts w:ascii="Arial" w:hAnsi="Arial" w:cs="Arial"/>
          <w:sz w:val="24"/>
          <w:szCs w:val="24"/>
          <w:lang w:val="fr-CA"/>
        </w:rPr>
        <w:t>nécessaire</w:t>
      </w:r>
      <w:r w:rsidR="000E27AF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29DA5450" w14:textId="329CB229" w:rsidR="001E0133" w:rsidRPr="00E028DE" w:rsidRDefault="004640C1" w:rsidP="008F4C3A">
      <w:pPr>
        <w:rPr>
          <w:rFonts w:ascii="Arial" w:hAnsi="Arial" w:cs="Arial"/>
          <w:sz w:val="24"/>
          <w:szCs w:val="24"/>
          <w:u w:val="single"/>
          <w:lang w:val="fr-CA"/>
        </w:rPr>
      </w:pPr>
      <w:r>
        <w:rPr>
          <w:rFonts w:ascii="Arial" w:hAnsi="Arial" w:cs="Arial"/>
          <w:sz w:val="24"/>
          <w:szCs w:val="24"/>
          <w:u w:val="single"/>
          <w:lang w:val="fr-CA"/>
        </w:rPr>
        <w:t>Admissibilité</w:t>
      </w:r>
    </w:p>
    <w:p w14:paraId="4B08C280" w14:textId="71596185" w:rsidR="007D6917" w:rsidRPr="00E028DE" w:rsidRDefault="000E27AF" w:rsidP="008F4C3A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 programme </w:t>
      </w:r>
      <w:r w:rsidR="00012102">
        <w:rPr>
          <w:rFonts w:ascii="Arial" w:hAnsi="Arial" w:cs="Arial"/>
          <w:sz w:val="24"/>
          <w:szCs w:val="24"/>
          <w:lang w:val="fr-CA"/>
        </w:rPr>
        <w:t xml:space="preserve">des </w:t>
      </w:r>
      <w:r w:rsidR="00012102" w:rsidRPr="00012102">
        <w:rPr>
          <w:rFonts w:ascii="Arial" w:hAnsi="Arial" w:cs="Arial"/>
          <w:sz w:val="24"/>
          <w:szCs w:val="24"/>
          <w:lang w:val="fr-CA"/>
        </w:rPr>
        <w:t xml:space="preserve">biens de la catégorie spéciale </w:t>
      </w:r>
      <w:r>
        <w:rPr>
          <w:rFonts w:ascii="Arial" w:hAnsi="Arial" w:cs="Arial"/>
          <w:sz w:val="24"/>
          <w:szCs w:val="24"/>
          <w:lang w:val="fr-CA"/>
        </w:rPr>
        <w:t>s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a</w:t>
      </w:r>
      <w:r w:rsidR="00937574">
        <w:rPr>
          <w:rFonts w:ascii="Arial" w:hAnsi="Arial" w:cs="Arial"/>
          <w:sz w:val="24"/>
          <w:szCs w:val="24"/>
          <w:lang w:val="fr-CA"/>
        </w:rPr>
        <w:t>p</w:t>
      </w:r>
      <w:r>
        <w:rPr>
          <w:rFonts w:ascii="Arial" w:hAnsi="Arial" w:cs="Arial"/>
          <w:sz w:val="24"/>
          <w:szCs w:val="24"/>
          <w:lang w:val="fr-CA"/>
        </w:rPr>
        <w:t xml:space="preserve">plique </w:t>
      </w:r>
      <w:r w:rsidR="00937574">
        <w:rPr>
          <w:rFonts w:ascii="Arial" w:hAnsi="Arial" w:cs="Arial"/>
          <w:sz w:val="24"/>
          <w:szCs w:val="24"/>
          <w:lang w:val="fr-CA"/>
        </w:rPr>
        <w:t>uniquement aux appels les plus complexes dont est saisie la Commission. Il sera possible de déposer des documents</w:t>
      </w:r>
      <w:r w:rsidR="007D6917">
        <w:rPr>
          <w:rFonts w:ascii="Arial" w:hAnsi="Arial" w:cs="Arial"/>
          <w:sz w:val="24"/>
          <w:szCs w:val="24"/>
          <w:lang w:val="fr-CA"/>
        </w:rPr>
        <w:t xml:space="preserve"> sans rapport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7D6917">
        <w:rPr>
          <w:rFonts w:ascii="Arial" w:hAnsi="Arial" w:cs="Arial"/>
          <w:sz w:val="24"/>
          <w:szCs w:val="24"/>
          <w:lang w:val="fr-CA"/>
        </w:rPr>
        <w:t>expert avant le délai de dépôt et de déposer le rapport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7D6917">
        <w:rPr>
          <w:rFonts w:ascii="Arial" w:hAnsi="Arial" w:cs="Arial"/>
          <w:sz w:val="24"/>
          <w:szCs w:val="24"/>
          <w:lang w:val="fr-CA"/>
        </w:rPr>
        <w:t>expert après le délai</w:t>
      </w:r>
      <w:r w:rsidR="00012102">
        <w:rPr>
          <w:rFonts w:ascii="Arial" w:hAnsi="Arial" w:cs="Arial"/>
          <w:sz w:val="24"/>
          <w:szCs w:val="24"/>
          <w:lang w:val="fr-CA"/>
        </w:rPr>
        <w:t xml:space="preserve"> uniquement dans le cas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012102">
        <w:rPr>
          <w:rFonts w:ascii="Arial" w:hAnsi="Arial" w:cs="Arial"/>
          <w:sz w:val="24"/>
          <w:szCs w:val="24"/>
          <w:lang w:val="fr-CA"/>
        </w:rPr>
        <w:t>appels touchant ces biens</w:t>
      </w:r>
      <w:r w:rsidR="007D6917">
        <w:rPr>
          <w:rFonts w:ascii="Arial" w:hAnsi="Arial" w:cs="Arial"/>
          <w:sz w:val="24"/>
          <w:szCs w:val="24"/>
          <w:lang w:val="fr-CA"/>
        </w:rPr>
        <w:t xml:space="preserve">. Pour </w:t>
      </w:r>
      <w:r w:rsidR="00012102">
        <w:rPr>
          <w:rFonts w:ascii="Arial" w:hAnsi="Arial" w:cs="Arial"/>
          <w:sz w:val="24"/>
          <w:szCs w:val="24"/>
          <w:lang w:val="fr-CA"/>
        </w:rPr>
        <w:t>s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012102">
        <w:rPr>
          <w:rFonts w:ascii="Arial" w:hAnsi="Arial" w:cs="Arial"/>
          <w:sz w:val="24"/>
          <w:szCs w:val="24"/>
          <w:lang w:val="fr-CA"/>
        </w:rPr>
        <w:t xml:space="preserve">assurer </w:t>
      </w:r>
      <w:r w:rsidR="007D6917">
        <w:rPr>
          <w:rFonts w:ascii="Arial" w:hAnsi="Arial" w:cs="Arial"/>
          <w:sz w:val="24"/>
          <w:szCs w:val="24"/>
          <w:lang w:val="fr-CA"/>
        </w:rPr>
        <w:t>que seuls les appels admissibles au programme sont inscrits, la Commission doit approuver une demande avant que le programme ne soit amorcé.</w:t>
      </w:r>
    </w:p>
    <w:p w14:paraId="5875239A" w14:textId="772F27A3" w:rsidR="001E0133" w:rsidRPr="00E028DE" w:rsidRDefault="007D6917" w:rsidP="008F4C3A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Les demandes peuvent être présentées au moyen du formulaire prévu à cette fin. Le formulaire doit être déposé au plus tard dans la semaine 62 </w:t>
      </w:r>
      <w:r w:rsidR="00900AE1">
        <w:rPr>
          <w:rFonts w:ascii="Arial" w:hAnsi="Arial" w:cs="Arial"/>
          <w:sz w:val="24"/>
          <w:szCs w:val="24"/>
          <w:lang w:val="fr-CA"/>
        </w:rPr>
        <w:t>du calendrier des procédures qui s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 w:rsidR="00900AE1">
        <w:rPr>
          <w:rFonts w:ascii="Arial" w:hAnsi="Arial" w:cs="Arial"/>
          <w:sz w:val="24"/>
          <w:szCs w:val="24"/>
          <w:lang w:val="fr-CA"/>
        </w:rPr>
        <w:t>applique aux appels. La demande sera ensuite remise à un membre de la Commission qui déterminer</w:t>
      </w:r>
      <w:r w:rsidR="00E925F1">
        <w:rPr>
          <w:rFonts w:ascii="Arial" w:hAnsi="Arial" w:cs="Arial"/>
          <w:sz w:val="24"/>
          <w:szCs w:val="24"/>
          <w:lang w:val="fr-CA"/>
        </w:rPr>
        <w:t>a</w:t>
      </w:r>
      <w:r w:rsidR="00900AE1">
        <w:rPr>
          <w:rFonts w:ascii="Arial" w:hAnsi="Arial" w:cs="Arial"/>
          <w:sz w:val="24"/>
          <w:szCs w:val="24"/>
          <w:lang w:val="fr-CA"/>
        </w:rPr>
        <w:t xml:space="preserve"> si le bien-fonds est admissible au programme </w:t>
      </w:r>
      <w:r w:rsidR="00012102">
        <w:rPr>
          <w:rFonts w:ascii="Arial" w:hAnsi="Arial" w:cs="Arial"/>
          <w:sz w:val="24"/>
          <w:szCs w:val="24"/>
          <w:lang w:val="fr-CA"/>
        </w:rPr>
        <w:t xml:space="preserve">des </w:t>
      </w:r>
      <w:r w:rsidR="00012102" w:rsidRPr="00012102">
        <w:rPr>
          <w:rFonts w:ascii="Arial" w:hAnsi="Arial" w:cs="Arial"/>
          <w:sz w:val="24"/>
          <w:szCs w:val="24"/>
          <w:lang w:val="fr-CA"/>
        </w:rPr>
        <w:t>biens de la catégorie spéciale</w:t>
      </w:r>
      <w:r w:rsidR="00900AE1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20E3AE01" w14:textId="798E36C2" w:rsidR="001E0133" w:rsidRPr="00E028DE" w:rsidRDefault="00900AE1" w:rsidP="008F4C3A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Pour déterminer 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admissibilité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un bien-fonds</w:t>
      </w:r>
      <w:r w:rsidR="001E0133" w:rsidRPr="00E028DE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>la Commission tiendra compte de ce qui suit :</w:t>
      </w:r>
    </w:p>
    <w:p w14:paraId="7170BCDD" w14:textId="6E548F8B" w:rsidR="00900AE1" w:rsidRDefault="00900AE1" w:rsidP="00900AE1">
      <w:pPr>
        <w:tabs>
          <w:tab w:val="left" w:pos="993"/>
        </w:tabs>
        <w:spacing w:after="0"/>
        <w:ind w:left="993" w:hanging="28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a)</w:t>
      </w:r>
      <w:r>
        <w:rPr>
          <w:rFonts w:ascii="Arial" w:hAnsi="Arial" w:cs="Arial"/>
          <w:sz w:val="24"/>
          <w:szCs w:val="24"/>
          <w:lang w:val="fr-CA"/>
        </w:rPr>
        <w:tab/>
        <w:t>le consentement des parties quant à 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admissibilité du bien-fonds;</w:t>
      </w:r>
    </w:p>
    <w:p w14:paraId="2DA1DB7C" w14:textId="77777777" w:rsidR="00900AE1" w:rsidRDefault="00900AE1" w:rsidP="00900AE1">
      <w:pPr>
        <w:tabs>
          <w:tab w:val="left" w:pos="993"/>
        </w:tabs>
        <w:spacing w:after="0"/>
        <w:ind w:left="993" w:hanging="28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b)</w:t>
      </w:r>
      <w:r>
        <w:rPr>
          <w:rFonts w:ascii="Arial" w:hAnsi="Arial" w:cs="Arial"/>
          <w:sz w:val="24"/>
          <w:szCs w:val="24"/>
          <w:lang w:val="fr-CA"/>
        </w:rPr>
        <w:tab/>
        <w:t>la complexité des questions en litige;</w:t>
      </w:r>
    </w:p>
    <w:p w14:paraId="26B20478" w14:textId="7716CACE" w:rsidR="001E0133" w:rsidRPr="00900AE1" w:rsidRDefault="00900AE1" w:rsidP="00900AE1">
      <w:pPr>
        <w:tabs>
          <w:tab w:val="left" w:pos="993"/>
        </w:tabs>
        <w:spacing w:after="0"/>
        <w:ind w:left="993" w:hanging="284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c)</w:t>
      </w:r>
      <w:r>
        <w:rPr>
          <w:rFonts w:ascii="Arial" w:hAnsi="Arial" w:cs="Arial"/>
          <w:sz w:val="24"/>
          <w:szCs w:val="24"/>
          <w:lang w:val="fr-CA"/>
        </w:rPr>
        <w:tab/>
        <w:t xml:space="preserve">le genre de bien-fonds, qui doit être : </w:t>
      </w:r>
    </w:p>
    <w:p w14:paraId="1662302F" w14:textId="26670706" w:rsidR="00737A4F" w:rsidRPr="00E028DE" w:rsidRDefault="009D6E6C" w:rsidP="00737A4F">
      <w:pPr>
        <w:pStyle w:val="ListParagraph"/>
        <w:numPr>
          <w:ilvl w:val="0"/>
          <w:numId w:val="3"/>
        </w:numPr>
        <w:ind w:left="1701" w:hanging="425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un bien commercial à usage particulier</w:t>
      </w:r>
      <w:r w:rsidR="00737A4F" w:rsidRPr="00E028DE">
        <w:rPr>
          <w:rFonts w:ascii="Arial" w:hAnsi="Arial" w:cs="Arial"/>
          <w:sz w:val="24"/>
          <w:szCs w:val="24"/>
          <w:lang w:val="fr-CA"/>
        </w:rPr>
        <w:t>,</w:t>
      </w:r>
    </w:p>
    <w:p w14:paraId="4FDF4494" w14:textId="79352C7A" w:rsidR="00737A4F" w:rsidRPr="00E028DE" w:rsidRDefault="009D6E6C" w:rsidP="00737A4F">
      <w:pPr>
        <w:pStyle w:val="ListParagraph"/>
        <w:numPr>
          <w:ilvl w:val="0"/>
          <w:numId w:val="3"/>
        </w:numPr>
        <w:ind w:left="1701" w:hanging="425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un vaste complexe de bureaux, de catégorie</w:t>
      </w:r>
      <w:r w:rsidR="00737A4F" w:rsidRPr="00E028DE">
        <w:rPr>
          <w:rFonts w:ascii="Arial" w:hAnsi="Arial" w:cs="Arial"/>
          <w:sz w:val="24"/>
          <w:szCs w:val="24"/>
          <w:lang w:val="fr-CA"/>
        </w:rPr>
        <w:t xml:space="preserve"> AA </w:t>
      </w:r>
      <w:r>
        <w:rPr>
          <w:rFonts w:ascii="Arial" w:hAnsi="Arial" w:cs="Arial"/>
          <w:sz w:val="24"/>
          <w:szCs w:val="24"/>
          <w:lang w:val="fr-CA"/>
        </w:rPr>
        <w:t>ou</w:t>
      </w:r>
      <w:r w:rsidR="00737A4F" w:rsidRPr="00E028DE">
        <w:rPr>
          <w:rFonts w:ascii="Arial" w:hAnsi="Arial" w:cs="Arial"/>
          <w:sz w:val="24"/>
          <w:szCs w:val="24"/>
          <w:lang w:val="fr-CA"/>
        </w:rPr>
        <w:t xml:space="preserve"> AAA, </w:t>
      </w:r>
      <w:r>
        <w:rPr>
          <w:rFonts w:ascii="Arial" w:hAnsi="Arial" w:cs="Arial"/>
          <w:sz w:val="24"/>
          <w:szCs w:val="24"/>
          <w:lang w:val="fr-CA"/>
        </w:rPr>
        <w:t>ou un bien</w:t>
      </w:r>
      <w:r w:rsidR="00E925F1">
        <w:rPr>
          <w:rFonts w:ascii="Arial" w:hAnsi="Arial" w:cs="Arial"/>
          <w:sz w:val="24"/>
          <w:szCs w:val="24"/>
          <w:lang w:val="fr-CA"/>
        </w:rPr>
        <w:noBreakHyphen/>
      </w:r>
      <w:r>
        <w:rPr>
          <w:rFonts w:ascii="Arial" w:hAnsi="Arial" w:cs="Arial"/>
          <w:sz w:val="24"/>
          <w:szCs w:val="24"/>
          <w:lang w:val="fr-CA"/>
        </w:rPr>
        <w:t>fonds semblable</w:t>
      </w:r>
      <w:r w:rsidR="00737A4F" w:rsidRPr="00E028DE">
        <w:rPr>
          <w:rFonts w:ascii="Arial" w:hAnsi="Arial" w:cs="Arial"/>
          <w:sz w:val="24"/>
          <w:szCs w:val="24"/>
          <w:lang w:val="fr-CA"/>
        </w:rPr>
        <w:t>,</w:t>
      </w:r>
    </w:p>
    <w:p w14:paraId="4356C2DF" w14:textId="518C41F9" w:rsidR="00737A4F" w:rsidRPr="00E028DE" w:rsidRDefault="009D6E6C" w:rsidP="00737A4F">
      <w:pPr>
        <w:pStyle w:val="ListParagraph"/>
        <w:numPr>
          <w:ilvl w:val="0"/>
          <w:numId w:val="3"/>
        </w:numPr>
        <w:ind w:left="1701" w:hanging="425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un </w:t>
      </w:r>
      <w:r w:rsidR="00737A4F" w:rsidRPr="00E028DE">
        <w:rPr>
          <w:rFonts w:ascii="Arial" w:hAnsi="Arial" w:cs="Arial"/>
          <w:sz w:val="24"/>
          <w:szCs w:val="24"/>
          <w:lang w:val="fr-CA"/>
        </w:rPr>
        <w:t>centre</w:t>
      </w:r>
      <w:r>
        <w:rPr>
          <w:rFonts w:ascii="Arial" w:hAnsi="Arial" w:cs="Arial"/>
          <w:sz w:val="24"/>
          <w:szCs w:val="24"/>
          <w:lang w:val="fr-CA"/>
        </w:rPr>
        <w:t xml:space="preserve"> commercial régional</w:t>
      </w:r>
      <w:r w:rsidR="00737A4F" w:rsidRPr="00E028DE">
        <w:rPr>
          <w:rFonts w:ascii="Arial" w:hAnsi="Arial" w:cs="Arial"/>
          <w:sz w:val="24"/>
          <w:szCs w:val="24"/>
          <w:lang w:val="fr-CA"/>
        </w:rPr>
        <w:t>,</w:t>
      </w:r>
    </w:p>
    <w:p w14:paraId="727ECE6F" w14:textId="3746395D" w:rsidR="00737A4F" w:rsidRPr="00E028DE" w:rsidRDefault="009D6E6C" w:rsidP="00737A4F">
      <w:pPr>
        <w:pStyle w:val="ListParagraph"/>
        <w:numPr>
          <w:ilvl w:val="0"/>
          <w:numId w:val="3"/>
        </w:numPr>
        <w:ind w:left="1701" w:hanging="425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un bien-fonds du secteur de 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accueil, comme un hôtel, un terrain de golf, une maison de soins infirmiers ou une maison de retraite</w:t>
      </w:r>
      <w:r w:rsidR="00737A4F" w:rsidRPr="00E028DE">
        <w:rPr>
          <w:rFonts w:ascii="Arial" w:hAnsi="Arial" w:cs="Arial"/>
          <w:sz w:val="24"/>
          <w:szCs w:val="24"/>
          <w:lang w:val="fr-CA"/>
        </w:rPr>
        <w:t>,</w:t>
      </w:r>
    </w:p>
    <w:p w14:paraId="7D677D4C" w14:textId="3ED6D5C8" w:rsidR="00806586" w:rsidRDefault="009D6E6C" w:rsidP="009C1878">
      <w:pPr>
        <w:pStyle w:val="ListParagraph"/>
        <w:numPr>
          <w:ilvl w:val="0"/>
          <w:numId w:val="3"/>
        </w:numPr>
        <w:ind w:left="1701" w:hanging="425"/>
        <w:rPr>
          <w:rFonts w:ascii="Arial" w:hAnsi="Arial" w:cs="Arial"/>
          <w:sz w:val="24"/>
          <w:szCs w:val="24"/>
          <w:lang w:val="fr-CA"/>
        </w:rPr>
      </w:pPr>
      <w:r w:rsidRPr="00806586">
        <w:rPr>
          <w:rFonts w:ascii="Arial" w:hAnsi="Arial" w:cs="Arial"/>
          <w:sz w:val="24"/>
          <w:szCs w:val="24"/>
          <w:lang w:val="fr-CA"/>
        </w:rPr>
        <w:t>un bien-fonds complexe, comme un aéroport, un centre de donn</w:t>
      </w:r>
      <w:r w:rsidR="00806586" w:rsidRPr="00806586">
        <w:rPr>
          <w:rFonts w:ascii="Arial" w:hAnsi="Arial" w:cs="Arial"/>
          <w:sz w:val="24"/>
          <w:szCs w:val="24"/>
          <w:lang w:val="fr-CA"/>
        </w:rPr>
        <w:t>é</w:t>
      </w:r>
      <w:r w:rsidRPr="00806586">
        <w:rPr>
          <w:rFonts w:ascii="Arial" w:hAnsi="Arial" w:cs="Arial"/>
          <w:sz w:val="24"/>
          <w:szCs w:val="24"/>
          <w:lang w:val="fr-CA"/>
        </w:rPr>
        <w:t xml:space="preserve">es, </w:t>
      </w:r>
      <w:r w:rsidR="00806586" w:rsidRPr="00806586">
        <w:rPr>
          <w:rFonts w:ascii="Arial" w:hAnsi="Arial" w:cs="Arial"/>
          <w:sz w:val="24"/>
          <w:szCs w:val="24"/>
          <w:lang w:val="fr-CA"/>
        </w:rPr>
        <w:t xml:space="preserve">un puits de gaz ou de pétrole, un </w:t>
      </w:r>
      <w:r w:rsidR="00012102">
        <w:rPr>
          <w:rFonts w:ascii="Arial" w:hAnsi="Arial" w:cs="Arial"/>
          <w:sz w:val="24"/>
          <w:szCs w:val="24"/>
          <w:lang w:val="fr-CA"/>
        </w:rPr>
        <w:t>élévateur à grains</w:t>
      </w:r>
      <w:r w:rsidR="00806586" w:rsidRPr="00806586">
        <w:rPr>
          <w:rFonts w:ascii="Arial" w:hAnsi="Arial" w:cs="Arial"/>
          <w:sz w:val="24"/>
          <w:szCs w:val="24"/>
          <w:lang w:val="fr-CA"/>
        </w:rPr>
        <w:t xml:space="preserve">, un </w:t>
      </w:r>
      <w:r w:rsidR="00737A4F" w:rsidRPr="00806586">
        <w:rPr>
          <w:rFonts w:ascii="Arial" w:hAnsi="Arial" w:cs="Arial"/>
          <w:sz w:val="24"/>
          <w:szCs w:val="24"/>
          <w:lang w:val="fr-CA"/>
        </w:rPr>
        <w:t xml:space="preserve">casino, </w:t>
      </w:r>
      <w:r w:rsidR="00806586" w:rsidRPr="00806586">
        <w:rPr>
          <w:rFonts w:ascii="Arial" w:hAnsi="Arial" w:cs="Arial"/>
          <w:sz w:val="24"/>
          <w:szCs w:val="24"/>
          <w:lang w:val="fr-CA"/>
        </w:rPr>
        <w:t>ou un établissement de sports et de divertissement</w:t>
      </w:r>
      <w:r w:rsidR="00737A4F" w:rsidRPr="00806586">
        <w:rPr>
          <w:rFonts w:ascii="Arial" w:hAnsi="Arial" w:cs="Arial"/>
          <w:sz w:val="24"/>
          <w:szCs w:val="24"/>
          <w:lang w:val="fr-CA"/>
        </w:rPr>
        <w:t>,</w:t>
      </w:r>
    </w:p>
    <w:p w14:paraId="0E1B6173" w14:textId="4EE3D29D" w:rsidR="00737A4F" w:rsidRPr="00806586" w:rsidRDefault="00806586" w:rsidP="009C1878">
      <w:pPr>
        <w:pStyle w:val="ListParagraph"/>
        <w:numPr>
          <w:ilvl w:val="0"/>
          <w:numId w:val="3"/>
        </w:numPr>
        <w:ind w:left="1701" w:hanging="425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un bien-fonds </w:t>
      </w:r>
      <w:r w:rsidR="00E925F1">
        <w:rPr>
          <w:rFonts w:ascii="Arial" w:hAnsi="Arial" w:cs="Arial"/>
          <w:sz w:val="24"/>
          <w:szCs w:val="24"/>
          <w:lang w:val="fr-CA"/>
        </w:rPr>
        <w:t xml:space="preserve">auquel s’appliquent </w:t>
      </w:r>
      <w:r w:rsidR="0017372C">
        <w:rPr>
          <w:rFonts w:ascii="Arial" w:hAnsi="Arial" w:cs="Arial"/>
          <w:sz w:val="24"/>
          <w:szCs w:val="24"/>
          <w:lang w:val="fr-CA"/>
        </w:rPr>
        <w:t xml:space="preserve">des facteurs </w:t>
      </w:r>
      <w:r>
        <w:rPr>
          <w:rFonts w:ascii="Arial" w:hAnsi="Arial" w:cs="Arial"/>
          <w:sz w:val="24"/>
          <w:szCs w:val="24"/>
          <w:lang w:val="fr-CA"/>
        </w:rPr>
        <w:t>particulier</w:t>
      </w:r>
      <w:r w:rsidR="0017372C">
        <w:rPr>
          <w:rFonts w:ascii="Arial" w:hAnsi="Arial" w:cs="Arial"/>
          <w:sz w:val="24"/>
          <w:szCs w:val="24"/>
          <w:lang w:val="fr-CA"/>
        </w:rPr>
        <w:t>s</w:t>
      </w:r>
      <w:r>
        <w:rPr>
          <w:rFonts w:ascii="Arial" w:hAnsi="Arial" w:cs="Arial"/>
          <w:sz w:val="24"/>
          <w:szCs w:val="24"/>
          <w:lang w:val="fr-CA"/>
        </w:rPr>
        <w:t xml:space="preserve"> liés à l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évaluation</w:t>
      </w:r>
      <w:r w:rsidR="00737A4F" w:rsidRPr="00806586">
        <w:rPr>
          <w:rFonts w:ascii="Arial" w:hAnsi="Arial" w:cs="Arial"/>
          <w:sz w:val="24"/>
          <w:szCs w:val="24"/>
          <w:lang w:val="fr-CA"/>
        </w:rPr>
        <w:t>.</w:t>
      </w:r>
    </w:p>
    <w:p w14:paraId="4B762FC6" w14:textId="2F688612" w:rsidR="00737A4F" w:rsidRPr="00E028DE" w:rsidRDefault="004640C1" w:rsidP="00737A4F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Dans la plupart des cas, la Commission répondra aux demandes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 xml:space="preserve">application du programme </w:t>
      </w:r>
      <w:r w:rsidR="00012102">
        <w:rPr>
          <w:rFonts w:ascii="Arial" w:hAnsi="Arial" w:cs="Arial"/>
          <w:sz w:val="24"/>
          <w:szCs w:val="24"/>
          <w:lang w:val="fr-CA"/>
        </w:rPr>
        <w:t xml:space="preserve">des </w:t>
      </w:r>
      <w:r w:rsidR="00012102" w:rsidRPr="00012102">
        <w:rPr>
          <w:rFonts w:ascii="Arial" w:hAnsi="Arial" w:cs="Arial"/>
          <w:sz w:val="24"/>
          <w:szCs w:val="24"/>
          <w:lang w:val="fr-CA"/>
        </w:rPr>
        <w:t>biens de la catégorie spéciale</w:t>
      </w:r>
      <w:r>
        <w:rPr>
          <w:rFonts w:ascii="Arial" w:hAnsi="Arial" w:cs="Arial"/>
          <w:sz w:val="24"/>
          <w:szCs w:val="24"/>
          <w:lang w:val="fr-CA"/>
        </w:rPr>
        <w:t xml:space="preserve"> en cinq jours ouvrables. On demande aux parties de respecter la date de dépôt établie dans le calendrier des procédures, et la règle 48 s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appliquera aux appels, y compris à ceux visés par une demande d</w:t>
      </w:r>
      <w:r w:rsidR="00573395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 xml:space="preserve">application du programme </w:t>
      </w:r>
      <w:r w:rsidR="00012102">
        <w:rPr>
          <w:rFonts w:ascii="Arial" w:hAnsi="Arial" w:cs="Arial"/>
          <w:sz w:val="24"/>
          <w:szCs w:val="24"/>
          <w:lang w:val="fr-CA"/>
        </w:rPr>
        <w:t xml:space="preserve">des </w:t>
      </w:r>
      <w:r w:rsidR="00012102" w:rsidRPr="00012102">
        <w:rPr>
          <w:rFonts w:ascii="Arial" w:hAnsi="Arial" w:cs="Arial"/>
          <w:sz w:val="24"/>
          <w:szCs w:val="24"/>
          <w:lang w:val="fr-CA"/>
        </w:rPr>
        <w:t>biens de la catégorie spéciale</w:t>
      </w:r>
      <w:r>
        <w:rPr>
          <w:rFonts w:ascii="Arial" w:hAnsi="Arial" w:cs="Arial"/>
          <w:sz w:val="24"/>
          <w:szCs w:val="24"/>
          <w:lang w:val="fr-CA"/>
        </w:rPr>
        <w:t>.</w:t>
      </w:r>
    </w:p>
    <w:sectPr w:rsidR="00737A4F" w:rsidRPr="00E0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712D" w14:textId="77777777" w:rsidR="009112D0" w:rsidRDefault="009112D0" w:rsidP="008F4C3A">
      <w:pPr>
        <w:spacing w:after="0" w:line="240" w:lineRule="auto"/>
      </w:pPr>
      <w:r>
        <w:separator/>
      </w:r>
    </w:p>
  </w:endnote>
  <w:endnote w:type="continuationSeparator" w:id="0">
    <w:p w14:paraId="562297BF" w14:textId="77777777" w:rsidR="009112D0" w:rsidRDefault="009112D0" w:rsidP="008F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1148" w14:textId="77777777" w:rsidR="007E776A" w:rsidRDefault="007E7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940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0F2A1" w14:textId="77777777" w:rsidR="008F4C3A" w:rsidRDefault="008F4C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8E5AD" w14:textId="1155229A" w:rsidR="007F264B" w:rsidRDefault="00FF789A" w:rsidP="007F264B">
    <w:pPr>
      <w:pStyle w:val="Footer"/>
      <w:jc w:val="right"/>
    </w:pPr>
    <w:r>
      <w:t>20 février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659B" w14:textId="77777777" w:rsidR="007E776A" w:rsidRDefault="007E7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802C0" w14:textId="77777777" w:rsidR="009112D0" w:rsidRDefault="009112D0" w:rsidP="008F4C3A">
      <w:pPr>
        <w:spacing w:after="0" w:line="240" w:lineRule="auto"/>
      </w:pPr>
      <w:r>
        <w:separator/>
      </w:r>
    </w:p>
  </w:footnote>
  <w:footnote w:type="continuationSeparator" w:id="0">
    <w:p w14:paraId="41468A6E" w14:textId="77777777" w:rsidR="009112D0" w:rsidRDefault="009112D0" w:rsidP="008F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BE5F" w14:textId="77777777" w:rsidR="007E776A" w:rsidRDefault="007E7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5AEF" w14:textId="62E5B3E6" w:rsidR="0099768A" w:rsidRPr="0099768A" w:rsidRDefault="0099768A" w:rsidP="0099768A">
    <w:pPr>
      <w:tabs>
        <w:tab w:val="right" w:pos="180"/>
      </w:tabs>
      <w:autoSpaceDE w:val="0"/>
      <w:autoSpaceDN w:val="0"/>
      <w:adjustRightInd w:val="0"/>
      <w:spacing w:after="0" w:line="240" w:lineRule="auto"/>
      <w:rPr>
        <w:rFonts w:ascii="Arial" w:hAnsi="Arial" w:cs="Arial"/>
        <w:bCs/>
        <w:spacing w:val="-16"/>
        <w:sz w:val="23"/>
        <w:szCs w:val="23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7774A121" wp14:editId="50566FCA">
          <wp:simplePos x="0" y="0"/>
          <wp:positionH relativeFrom="column">
            <wp:posOffset>-723900</wp:posOffset>
          </wp:positionH>
          <wp:positionV relativeFrom="paragraph">
            <wp:posOffset>-35560</wp:posOffset>
          </wp:positionV>
          <wp:extent cx="640080" cy="8001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68A">
      <w:rPr>
        <w:rFonts w:ascii="Arial" w:hAnsi="Arial" w:cs="Arial"/>
        <w:bCs/>
        <w:spacing w:val="-16"/>
        <w:sz w:val="23"/>
        <w:szCs w:val="23"/>
        <w:lang w:val="fr-CA"/>
      </w:rPr>
      <w:t xml:space="preserve"> Tribunaux décisionnels Ontario – </w:t>
    </w:r>
    <w:r w:rsidR="00E2620E">
      <w:rPr>
        <w:rFonts w:ascii="Arial" w:hAnsi="Arial" w:cs="Arial"/>
        <w:bCs/>
        <w:spacing w:val="-16"/>
        <w:sz w:val="23"/>
        <w:szCs w:val="23"/>
        <w:lang w:val="fr-CA"/>
      </w:rPr>
      <w:t>Commission de révision de l’évaluation foncière</w:t>
    </w:r>
  </w:p>
  <w:p w14:paraId="324A69A1" w14:textId="77777777" w:rsidR="0099768A" w:rsidRPr="0099768A" w:rsidRDefault="0099768A" w:rsidP="0099768A">
    <w:pPr>
      <w:tabs>
        <w:tab w:val="right" w:pos="36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8"/>
        <w:szCs w:val="8"/>
        <w:lang w:val="fr-CA"/>
      </w:rPr>
    </w:pPr>
  </w:p>
  <w:p w14:paraId="6BC3010E" w14:textId="606FE957" w:rsidR="0099768A" w:rsidRPr="0099768A" w:rsidRDefault="0099768A" w:rsidP="0099768A">
    <w:pPr>
      <w:pBdr>
        <w:bottom w:val="single" w:sz="4" w:space="2" w:color="auto"/>
      </w:pBdr>
      <w:tabs>
        <w:tab w:val="right" w:pos="90"/>
        <w:tab w:val="right" w:pos="360"/>
      </w:tabs>
      <w:spacing w:after="0" w:line="240" w:lineRule="auto"/>
      <w:ind w:left="90"/>
      <w:rPr>
        <w:rFonts w:ascii="Arial" w:hAnsi="Arial" w:cs="Times New Roman"/>
        <w:w w:val="98"/>
        <w:sz w:val="18"/>
        <w:szCs w:val="18"/>
        <w:lang w:val="fr-CA"/>
      </w:rPr>
    </w:pPr>
    <w:r w:rsidRPr="0099768A">
      <w:rPr>
        <w:rFonts w:ascii="Arial" w:hAnsi="Arial"/>
        <w:w w:val="98"/>
        <w:sz w:val="18"/>
        <w:szCs w:val="18"/>
        <w:lang w:val="fr-CA"/>
      </w:rPr>
      <w:t>Commission de révision de l’</w:t>
    </w:r>
    <w:r>
      <w:rPr>
        <w:rFonts w:ascii="Arial" w:hAnsi="Arial"/>
        <w:w w:val="98"/>
        <w:sz w:val="18"/>
        <w:szCs w:val="18"/>
        <w:lang w:val="fr-CA"/>
      </w:rPr>
      <w:t>évaluation foncière</w:t>
    </w:r>
    <w:r w:rsidRPr="0099768A">
      <w:rPr>
        <w:rFonts w:ascii="Arial" w:hAnsi="Arial"/>
        <w:w w:val="98"/>
        <w:sz w:val="18"/>
        <w:szCs w:val="18"/>
        <w:lang w:val="fr-CA"/>
      </w:rPr>
      <w:t xml:space="preserve">, 655 </w:t>
    </w:r>
    <w:r>
      <w:rPr>
        <w:rFonts w:ascii="Arial" w:hAnsi="Arial"/>
        <w:w w:val="98"/>
        <w:sz w:val="18"/>
        <w:szCs w:val="18"/>
        <w:lang w:val="fr-CA"/>
      </w:rPr>
      <w:t>rue Bay</w:t>
    </w:r>
    <w:r w:rsidRPr="0099768A">
      <w:rPr>
        <w:rFonts w:ascii="Arial" w:hAnsi="Arial"/>
        <w:w w:val="98"/>
        <w:sz w:val="18"/>
        <w:szCs w:val="18"/>
        <w:lang w:val="fr-CA"/>
      </w:rPr>
      <w:t xml:space="preserve">, </w:t>
    </w:r>
    <w:r w:rsidR="00B72925">
      <w:rPr>
        <w:rFonts w:ascii="Arial" w:hAnsi="Arial"/>
        <w:w w:val="98"/>
        <w:sz w:val="18"/>
        <w:szCs w:val="18"/>
        <w:lang w:val="fr-CA"/>
      </w:rPr>
      <w:t>bureau</w:t>
    </w:r>
    <w:r w:rsidRPr="0099768A">
      <w:rPr>
        <w:rFonts w:ascii="Arial" w:hAnsi="Arial"/>
        <w:w w:val="98"/>
        <w:sz w:val="18"/>
        <w:szCs w:val="18"/>
        <w:lang w:val="fr-CA"/>
      </w:rPr>
      <w:t xml:space="preserve"> 1500, Toronto, Ontario M5G 1E5 </w:t>
    </w:r>
  </w:p>
  <w:p w14:paraId="330C5F70" w14:textId="347AAD7E" w:rsidR="0099768A" w:rsidRPr="00B72925" w:rsidRDefault="00B72925" w:rsidP="0099768A">
    <w:pPr>
      <w:pBdr>
        <w:bottom w:val="single" w:sz="4" w:space="2" w:color="auto"/>
      </w:pBdr>
      <w:tabs>
        <w:tab w:val="right" w:pos="360"/>
      </w:tabs>
      <w:spacing w:after="0" w:line="240" w:lineRule="auto"/>
      <w:ind w:left="90"/>
      <w:rPr>
        <w:rFonts w:ascii="Arial" w:hAnsi="Arial"/>
        <w:sz w:val="18"/>
        <w:szCs w:val="18"/>
        <w:lang w:val="fr-CA"/>
      </w:rPr>
    </w:pPr>
    <w:r w:rsidRPr="00B72925">
      <w:rPr>
        <w:rFonts w:ascii="Arial" w:hAnsi="Arial"/>
        <w:b/>
        <w:bCs/>
        <w:sz w:val="18"/>
        <w:szCs w:val="18"/>
        <w:lang w:val="fr-CA"/>
      </w:rPr>
      <w:t xml:space="preserve">Téléphone </w:t>
    </w:r>
    <w:r w:rsidR="0099768A" w:rsidRPr="00B72925">
      <w:rPr>
        <w:rFonts w:ascii="Arial" w:hAnsi="Arial"/>
        <w:b/>
        <w:bCs/>
        <w:sz w:val="18"/>
        <w:szCs w:val="18"/>
        <w:lang w:val="fr-CA"/>
      </w:rPr>
      <w:t>:</w:t>
    </w:r>
    <w:r>
      <w:rPr>
        <w:rFonts w:ascii="Arial" w:hAnsi="Arial"/>
        <w:sz w:val="18"/>
        <w:szCs w:val="18"/>
        <w:lang w:val="fr-CA"/>
      </w:rPr>
      <w:t xml:space="preserve"> (416) 212-6349 </w:t>
    </w:r>
    <w:r w:rsidRPr="00B72925">
      <w:rPr>
        <w:rFonts w:ascii="Arial" w:hAnsi="Arial"/>
        <w:sz w:val="18"/>
        <w:szCs w:val="18"/>
        <w:lang w:val="fr-CA"/>
      </w:rPr>
      <w:t>ou</w:t>
    </w:r>
    <w:r w:rsidR="0099768A" w:rsidRPr="00B72925">
      <w:rPr>
        <w:rFonts w:ascii="Arial" w:hAnsi="Arial"/>
        <w:sz w:val="18"/>
        <w:szCs w:val="18"/>
        <w:lang w:val="fr-CA"/>
      </w:rPr>
      <w:t xml:space="preserve"> 1-866-448-2248 </w:t>
    </w:r>
    <w:r w:rsidRPr="00B72925">
      <w:rPr>
        <w:rFonts w:ascii="Arial" w:hAnsi="Arial"/>
        <w:b/>
        <w:bCs/>
        <w:sz w:val="18"/>
        <w:szCs w:val="18"/>
        <w:lang w:val="fr-CA"/>
      </w:rPr>
      <w:t xml:space="preserve">Télécopieur </w:t>
    </w:r>
    <w:r w:rsidR="0099768A" w:rsidRPr="00B72925">
      <w:rPr>
        <w:rFonts w:ascii="Arial" w:hAnsi="Arial"/>
        <w:b/>
        <w:bCs/>
        <w:sz w:val="18"/>
        <w:szCs w:val="18"/>
        <w:lang w:val="fr-CA"/>
      </w:rPr>
      <w:t>:</w:t>
    </w:r>
    <w:r w:rsidR="0099768A" w:rsidRPr="00B72925">
      <w:rPr>
        <w:rFonts w:ascii="Arial" w:hAnsi="Arial"/>
        <w:sz w:val="18"/>
        <w:szCs w:val="18"/>
        <w:lang w:val="fr-CA"/>
      </w:rPr>
      <w:t xml:space="preserve"> (416) 314-3717 </w:t>
    </w:r>
    <w:r w:rsidRPr="00B72925">
      <w:rPr>
        <w:rFonts w:ascii="Arial" w:hAnsi="Arial"/>
        <w:sz w:val="18"/>
        <w:szCs w:val="18"/>
        <w:lang w:val="fr-CA"/>
      </w:rPr>
      <w:t>ou</w:t>
    </w:r>
    <w:r w:rsidR="0099768A" w:rsidRPr="00B72925">
      <w:rPr>
        <w:rFonts w:ascii="Arial" w:hAnsi="Arial"/>
        <w:sz w:val="18"/>
        <w:szCs w:val="18"/>
        <w:lang w:val="fr-CA"/>
      </w:rPr>
      <w:t xml:space="preserve"> 1-877-849-2066</w:t>
    </w:r>
  </w:p>
  <w:p w14:paraId="7CB60E25" w14:textId="396F2A99" w:rsidR="0099768A" w:rsidRPr="00B72925" w:rsidRDefault="00B72925" w:rsidP="0099768A">
    <w:pPr>
      <w:pBdr>
        <w:bottom w:val="single" w:sz="4" w:space="2" w:color="auto"/>
      </w:pBdr>
      <w:tabs>
        <w:tab w:val="right" w:pos="360"/>
      </w:tabs>
      <w:spacing w:after="0" w:line="240" w:lineRule="auto"/>
      <w:ind w:left="90"/>
      <w:rPr>
        <w:rFonts w:ascii="Arial" w:hAnsi="Arial"/>
        <w:sz w:val="18"/>
        <w:szCs w:val="18"/>
        <w:lang w:val="fr-CA"/>
      </w:rPr>
    </w:pPr>
    <w:r w:rsidRPr="00B72925">
      <w:rPr>
        <w:rFonts w:ascii="Arial" w:hAnsi="Arial"/>
        <w:b/>
        <w:bCs/>
        <w:sz w:val="18"/>
        <w:szCs w:val="18"/>
        <w:lang w:val="fr-CA"/>
      </w:rPr>
      <w:t xml:space="preserve">Site Web </w:t>
    </w:r>
    <w:r w:rsidR="0099768A" w:rsidRPr="00B72925">
      <w:rPr>
        <w:rFonts w:ascii="Arial" w:hAnsi="Arial"/>
        <w:b/>
        <w:bCs/>
        <w:sz w:val="18"/>
        <w:szCs w:val="18"/>
        <w:lang w:val="fr-CA"/>
      </w:rPr>
      <w:t>:</w:t>
    </w:r>
    <w:r w:rsidR="0099768A" w:rsidRPr="00B72925">
      <w:rPr>
        <w:rFonts w:ascii="Arial" w:hAnsi="Arial"/>
        <w:sz w:val="18"/>
        <w:szCs w:val="18"/>
        <w:lang w:val="fr-CA"/>
      </w:rPr>
      <w:t xml:space="preserve"> </w:t>
    </w:r>
    <w:hyperlink r:id="rId2" w:history="1">
      <w:r w:rsidR="00E2620E" w:rsidRPr="008A7917">
        <w:rPr>
          <w:rStyle w:val="Hyperlink"/>
          <w:rFonts w:ascii="Arial" w:hAnsi="Arial" w:cs="Arial"/>
          <w:sz w:val="18"/>
          <w:szCs w:val="18"/>
          <w:lang w:val="fr-CA"/>
        </w:rPr>
        <w:t>www.arb.gov.on.ca</w:t>
      </w:r>
    </w:hyperlink>
    <w:r w:rsidR="003A4183">
      <w:rPr>
        <w:rFonts w:ascii="Arial" w:hAnsi="Arial" w:cs="Arial"/>
        <w:sz w:val="18"/>
        <w:szCs w:val="18"/>
        <w:lang w:val="fr-CA"/>
      </w:rPr>
      <w:t xml:space="preserve"> </w:t>
    </w:r>
    <w:r w:rsidR="0099768A" w:rsidRPr="00B72925">
      <w:rPr>
        <w:rFonts w:ascii="Arial" w:hAnsi="Arial"/>
        <w:b/>
        <w:bCs/>
        <w:sz w:val="18"/>
        <w:szCs w:val="18"/>
        <w:lang w:val="fr-CA"/>
      </w:rPr>
      <w:t xml:space="preserve"> </w:t>
    </w:r>
    <w:r>
      <w:rPr>
        <w:rFonts w:ascii="Arial" w:hAnsi="Arial"/>
        <w:b/>
        <w:bCs/>
        <w:sz w:val="18"/>
        <w:szCs w:val="18"/>
        <w:lang w:val="fr-CA"/>
      </w:rPr>
      <w:t xml:space="preserve">Courriel </w:t>
    </w:r>
    <w:r w:rsidR="0099768A" w:rsidRPr="00B72925">
      <w:rPr>
        <w:rFonts w:ascii="Arial" w:hAnsi="Arial"/>
        <w:sz w:val="18"/>
        <w:szCs w:val="18"/>
        <w:lang w:val="fr-CA"/>
      </w:rPr>
      <w:t xml:space="preserve">: </w:t>
    </w:r>
    <w:hyperlink r:id="rId3" w:history="1">
      <w:r w:rsidR="003A4183" w:rsidRPr="0096620C">
        <w:rPr>
          <w:rStyle w:val="Hyperlink"/>
          <w:rFonts w:ascii="Arial" w:hAnsi="Arial" w:cs="Arial"/>
          <w:sz w:val="18"/>
          <w:szCs w:val="18"/>
          <w:lang w:val="fr-CA"/>
        </w:rPr>
        <w:t>arb.registrar@ontario.ca</w:t>
      </w:r>
    </w:hyperlink>
    <w:r w:rsidR="003A4183">
      <w:rPr>
        <w:rFonts w:ascii="Arial" w:hAnsi="Arial" w:cs="Arial"/>
        <w:sz w:val="18"/>
        <w:szCs w:val="18"/>
        <w:lang w:val="fr-CA"/>
      </w:rPr>
      <w:t xml:space="preserve"> </w:t>
    </w:r>
  </w:p>
  <w:p w14:paraId="42D8AB1B" w14:textId="77777777" w:rsidR="007E776A" w:rsidRPr="00B72925" w:rsidRDefault="007E776A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235C" w14:textId="77777777" w:rsidR="007E776A" w:rsidRDefault="007E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95CC8"/>
    <w:multiLevelType w:val="hybridMultilevel"/>
    <w:tmpl w:val="8214DF22"/>
    <w:lvl w:ilvl="0" w:tplc="5CCA2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B7D82"/>
    <w:multiLevelType w:val="hybridMultilevel"/>
    <w:tmpl w:val="EB90B1AA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044F26"/>
    <w:multiLevelType w:val="hybridMultilevel"/>
    <w:tmpl w:val="6D40C9CA"/>
    <w:lvl w:ilvl="0" w:tplc="5B40114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15870"/>
    <w:multiLevelType w:val="hybridMultilevel"/>
    <w:tmpl w:val="877AB4C0"/>
    <w:lvl w:ilvl="0" w:tplc="C32A9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93"/>
    <w:rsid w:val="00012102"/>
    <w:rsid w:val="000E27AF"/>
    <w:rsid w:val="000E6B32"/>
    <w:rsid w:val="00125503"/>
    <w:rsid w:val="0017372C"/>
    <w:rsid w:val="001A2DB9"/>
    <w:rsid w:val="001C6349"/>
    <w:rsid w:val="001E0133"/>
    <w:rsid w:val="00217B99"/>
    <w:rsid w:val="002812B8"/>
    <w:rsid w:val="0029255D"/>
    <w:rsid w:val="002A05BD"/>
    <w:rsid w:val="0036137B"/>
    <w:rsid w:val="003A037A"/>
    <w:rsid w:val="003A4183"/>
    <w:rsid w:val="003C6B67"/>
    <w:rsid w:val="004204D9"/>
    <w:rsid w:val="004640C1"/>
    <w:rsid w:val="004F2838"/>
    <w:rsid w:val="005310CF"/>
    <w:rsid w:val="00573395"/>
    <w:rsid w:val="00672759"/>
    <w:rsid w:val="00677568"/>
    <w:rsid w:val="006D4147"/>
    <w:rsid w:val="00737A4F"/>
    <w:rsid w:val="007D4FF2"/>
    <w:rsid w:val="007D6917"/>
    <w:rsid w:val="007E776A"/>
    <w:rsid w:val="007F264B"/>
    <w:rsid w:val="00806586"/>
    <w:rsid w:val="00892FDE"/>
    <w:rsid w:val="008B2884"/>
    <w:rsid w:val="008F4C3A"/>
    <w:rsid w:val="00900AE1"/>
    <w:rsid w:val="009112D0"/>
    <w:rsid w:val="00937574"/>
    <w:rsid w:val="00955FB2"/>
    <w:rsid w:val="0097060F"/>
    <w:rsid w:val="0099768A"/>
    <w:rsid w:val="009D1A99"/>
    <w:rsid w:val="009D6E6C"/>
    <w:rsid w:val="00A15304"/>
    <w:rsid w:val="00AB2E59"/>
    <w:rsid w:val="00B57C19"/>
    <w:rsid w:val="00B72925"/>
    <w:rsid w:val="00B764A8"/>
    <w:rsid w:val="00BF0746"/>
    <w:rsid w:val="00C45A29"/>
    <w:rsid w:val="00C708CE"/>
    <w:rsid w:val="00DA0D97"/>
    <w:rsid w:val="00DC4D00"/>
    <w:rsid w:val="00DF4896"/>
    <w:rsid w:val="00E028DE"/>
    <w:rsid w:val="00E2620E"/>
    <w:rsid w:val="00E925F1"/>
    <w:rsid w:val="00EF0285"/>
    <w:rsid w:val="00F24072"/>
    <w:rsid w:val="00F54293"/>
    <w:rsid w:val="00FA4019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A3A7EC"/>
  <w15:docId w15:val="{A5BF23C8-0808-415F-A681-370C0128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3A"/>
  </w:style>
  <w:style w:type="paragraph" w:styleId="Footer">
    <w:name w:val="footer"/>
    <w:basedOn w:val="Normal"/>
    <w:link w:val="FooterChar"/>
    <w:uiPriority w:val="99"/>
    <w:unhideWhenUsed/>
    <w:rsid w:val="008F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3A"/>
  </w:style>
  <w:style w:type="paragraph" w:styleId="BalloonText">
    <w:name w:val="Balloon Text"/>
    <w:basedOn w:val="Normal"/>
    <w:link w:val="BalloonTextChar"/>
    <w:uiPriority w:val="99"/>
    <w:semiHidden/>
    <w:unhideWhenUsed/>
    <w:rsid w:val="00E9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1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b.registrar@ontario.ca" TargetMode="External"/><Relationship Id="rId2" Type="http://schemas.openxmlformats.org/officeDocument/2006/relationships/hyperlink" Target="http://www.arb.gov.on.ca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1F6C-1731-4541-86CF-0E286889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McAnsh, Scott (MAG)</dc:creator>
  <cp:lastModifiedBy>McLean, Michael (MAG)</cp:lastModifiedBy>
  <cp:revision>2</cp:revision>
  <cp:lastPrinted>2019-06-14T14:38:00Z</cp:lastPrinted>
  <dcterms:created xsi:type="dcterms:W3CDTF">2020-06-29T17:41:00Z</dcterms:created>
  <dcterms:modified xsi:type="dcterms:W3CDTF">2020-06-29T17:41:00Z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Alex.Kappel@ontario.ca</vt:lpwstr>
  </property>
  <property fmtid="{D5CDD505-2E9C-101B-9397-08002B2CF9AE}" pid="5" name="MSIP_Label_034a106e-6316-442c-ad35-738afd673d2b_SetDate">
    <vt:lpwstr>2020-06-22T16:04:31.5098233Z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c1a58f61-2079-45a1-87c1-d1f4bdd7b5e0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